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hanging="0"/>
        <w:jc w:val="left"/>
        <w:rPr>
          <w:rFonts w:ascii="Calibri" w:hAnsi="Calibri" w:cs="Calibri"/>
          <w:b/>
          <w:b/>
          <w:bCs/>
          <w:color w:val="000000"/>
          <w:sz w:val="23"/>
          <w:szCs w:val="23"/>
        </w:rPr>
      </w:pPr>
      <w:r>
        <w:rPr>
          <w:rFonts w:cs="Calibri"/>
          <w:b/>
          <w:bCs/>
          <w:color w:val="000000"/>
          <w:sz w:val="23"/>
          <w:szCs w:val="23"/>
        </w:rPr>
      </w:r>
    </w:p>
    <w:p>
      <w:pPr>
        <w:pStyle w:val="Normal"/>
        <w:ind w:left="0" w:hanging="0"/>
        <w:jc w:val="center"/>
        <w:rPr/>
      </w:pPr>
      <w:r>
        <w:rPr>
          <w:rFonts w:cs="Calibri" w:ascii="Arial Black" w:hAnsi="Arial Black"/>
          <w:b/>
          <w:bCs/>
          <w:color w:val="000000"/>
        </w:rPr>
        <w:t xml:space="preserve">CONSULTA PÚBLICA PREVIA SOBRE  EL PROYECTO  DE PLAN MUNICIPAL DE VIVIENDA Y SUELO DEL MUNICIPIO DE </w:t>
      </w:r>
      <w:r>
        <w:rPr>
          <w:rFonts w:cs="Calibri" w:ascii="Arial Black" w:hAnsi="Arial Black"/>
          <w:b/>
          <w:bCs/>
          <w:color w:val="000000"/>
        </w:rPr>
        <w:t>TORROX</w:t>
      </w:r>
    </w:p>
    <w:p>
      <w:pPr>
        <w:pStyle w:val="Default"/>
        <w:jc w:val="both"/>
        <w:rPr>
          <w:rFonts w:ascii="Century Gothic" w:hAnsi="Century Gothic"/>
          <w:sz w:val="22"/>
          <w:szCs w:val="22"/>
        </w:rPr>
      </w:pPr>
      <w:r>
        <w:rPr>
          <w:rFonts w:ascii="Century Gothic" w:hAnsi="Century Gothic"/>
          <w:sz w:val="22"/>
          <w:szCs w:val="22"/>
        </w:rPr>
      </w:r>
    </w:p>
    <w:p>
      <w:pPr>
        <w:pStyle w:val="Default"/>
        <w:jc w:val="both"/>
        <w:rPr>
          <w:rFonts w:ascii="Century Gothic" w:hAnsi="Century Gothic"/>
          <w:sz w:val="22"/>
          <w:szCs w:val="22"/>
        </w:rPr>
      </w:pPr>
      <w:r>
        <w:rPr>
          <w:rFonts w:ascii="Century Gothic" w:hAnsi="Century Gothic"/>
          <w:sz w:val="22"/>
          <w:szCs w:val="22"/>
        </w:rPr>
      </w:r>
    </w:p>
    <w:p>
      <w:pPr>
        <w:pStyle w:val="Default"/>
        <w:jc w:val="both"/>
        <w:rPr>
          <w:rFonts w:ascii="Century Gothic" w:hAnsi="Century Gothic"/>
          <w:sz w:val="22"/>
          <w:szCs w:val="22"/>
        </w:rPr>
      </w:pPr>
      <w:r>
        <w:rPr>
          <w:rFonts w:ascii="Century Gothic" w:hAnsi="Century Gothic"/>
          <w:sz w:val="22"/>
          <w:szCs w:val="22"/>
        </w:rPr>
        <w:tab/>
        <w:t>En virtud del artículo 13 de la Ley 1/2010, de 8 de marzo, Reguladora del Derecho a la Vivienda en Andalucía, los Ayuntamientos deben elaborar y aprobar un Plan Municipal de Vivienda y Suelo. La elaboración y aprobación de estos planes se realizará de forma coordinada con el planeamiento urbanístico general y manteniendo la necesaria coherencia con lo establecido en el Plan Andaluz de Vivienda y Suelo.</w:t>
      </w:r>
    </w:p>
    <w:p>
      <w:pPr>
        <w:pStyle w:val="Default"/>
        <w:jc w:val="both"/>
        <w:rPr>
          <w:rFonts w:ascii="Century Gothic" w:hAnsi="Century Gothic"/>
          <w:sz w:val="22"/>
          <w:szCs w:val="22"/>
        </w:rPr>
      </w:pPr>
      <w:r>
        <w:rPr>
          <w:rFonts w:ascii="Century Gothic" w:hAnsi="Century Gothic"/>
          <w:sz w:val="22"/>
          <w:szCs w:val="22"/>
        </w:rPr>
      </w:r>
    </w:p>
    <w:p>
      <w:pPr>
        <w:pStyle w:val="Default"/>
        <w:jc w:val="both"/>
        <w:rPr/>
      </w:pPr>
      <w:r>
        <w:rPr>
          <w:rFonts w:ascii="Century Gothic" w:hAnsi="Century Gothic"/>
          <w:sz w:val="22"/>
          <w:szCs w:val="22"/>
        </w:rPr>
        <w:tab/>
        <w:t xml:space="preserve">Según el </w:t>
      </w:r>
      <w:r>
        <w:rPr>
          <w:rFonts w:ascii="Century Gothic" w:hAnsi="Century Gothic"/>
          <w:sz w:val="22"/>
          <w:szCs w:val="22"/>
        </w:rPr>
        <w:t>acuerdo de pleno de fecha 29/05/2017</w:t>
      </w:r>
      <w:r>
        <w:rPr>
          <w:rFonts w:ascii="Century Gothic" w:hAnsi="Century Gothic"/>
          <w:sz w:val="22"/>
          <w:szCs w:val="22"/>
        </w:rPr>
        <w:t>, el Ayuntamiento ha decidido redactar un Plan Municipal de Vivienda y Suelo</w:t>
      </w:r>
      <w:r>
        <w:rPr>
          <w:rFonts w:cs="FuturaBT-Light" w:ascii="FuturaBT-Light" w:hAnsi="FuturaBT-Light"/>
        </w:rPr>
        <w:t>.</w:t>
      </w:r>
    </w:p>
    <w:p>
      <w:pPr>
        <w:pStyle w:val="Default"/>
        <w:jc w:val="both"/>
        <w:rPr>
          <w:rFonts w:ascii="Century Gothic" w:hAnsi="Century Gothic"/>
          <w:sz w:val="22"/>
          <w:szCs w:val="22"/>
        </w:rPr>
      </w:pPr>
      <w:r>
        <w:rPr>
          <w:rFonts w:ascii="Century Gothic" w:hAnsi="Century Gothic"/>
          <w:sz w:val="22"/>
          <w:szCs w:val="22"/>
        </w:rPr>
      </w:r>
    </w:p>
    <w:p>
      <w:pPr>
        <w:pStyle w:val="Default"/>
        <w:jc w:val="both"/>
        <w:rPr/>
      </w:pPr>
      <w:r>
        <w:rPr>
          <w:rFonts w:ascii="Century Gothic" w:hAnsi="Century Gothic"/>
          <w:sz w:val="22"/>
          <w:szCs w:val="22"/>
        </w:rPr>
        <w:tab/>
        <w:t xml:space="preserve">Con carácter previo a la redacción del Plan municipal de vivienda y suelo  del municipio de  </w:t>
      </w:r>
      <w:r>
        <w:rPr>
          <w:rFonts w:ascii="Century Gothic" w:hAnsi="Century Gothic"/>
          <w:sz w:val="22"/>
          <w:szCs w:val="22"/>
        </w:rPr>
        <w:t xml:space="preserve">Torrox </w:t>
      </w:r>
      <w:r>
        <w:rPr>
          <w:rFonts w:ascii="Century Gothic" w:hAnsi="Century Gothic"/>
          <w:sz w:val="22"/>
          <w:szCs w:val="22"/>
        </w:rPr>
        <w:t>y a tenor de lo dispuesto en el artículo 133.1 de la Ley 39/2015 de 1 de octubre de Procedimiento Administrativo Común de las Administraciones Públicas (LPA), se somete a Consulta Pública esta iniciativa,</w:t>
      </w:r>
      <w:r>
        <w:rPr>
          <w:rFonts w:cs="Calibri" w:ascii="Century Gothic" w:hAnsi="Century Gothic"/>
          <w:sz w:val="22"/>
          <w:szCs w:val="22"/>
        </w:rPr>
        <w:t xml:space="preserve"> a través del portal web del Ayuntamiento de </w:t>
      </w:r>
      <w:r>
        <w:rPr>
          <w:rFonts w:cs="Calibri" w:ascii="Century Gothic" w:hAnsi="Century Gothic"/>
          <w:sz w:val="22"/>
          <w:szCs w:val="22"/>
        </w:rPr>
        <w:t>Torrox</w:t>
      </w:r>
      <w:r>
        <w:rPr>
          <w:rFonts w:cs="Calibri" w:ascii="Century Gothic" w:hAnsi="Century Gothic"/>
          <w:sz w:val="22"/>
          <w:szCs w:val="22"/>
        </w:rPr>
        <w:t>,</w:t>
      </w:r>
      <w:r>
        <w:rPr>
          <w:rFonts w:ascii="Century Gothic" w:hAnsi="Century Gothic"/>
          <w:sz w:val="22"/>
          <w:szCs w:val="22"/>
        </w:rPr>
        <w:t xml:space="preserve"> con el fin de conocer la opinión de la ciudadanía, para que las personas y las organizaciones más representativas, potencialmente afectadas por este Plan, puedan opinar y hacer aportaciones acerca de: </w:t>
      </w:r>
    </w:p>
    <w:p>
      <w:pPr>
        <w:pStyle w:val="Default"/>
        <w:rPr>
          <w:rFonts w:ascii="Century Gothic" w:hAnsi="Century Gothic"/>
          <w:sz w:val="22"/>
          <w:szCs w:val="22"/>
        </w:rPr>
      </w:pPr>
      <w:r>
        <w:rPr>
          <w:rFonts w:ascii="Century Gothic" w:hAnsi="Century Gothic"/>
          <w:sz w:val="22"/>
          <w:szCs w:val="22"/>
        </w:rPr>
      </w:r>
    </w:p>
    <w:p>
      <w:pPr>
        <w:pStyle w:val="Default"/>
        <w:spacing w:before="0" w:after="10"/>
        <w:rPr>
          <w:rFonts w:ascii="Century Gothic" w:hAnsi="Century Gothic"/>
          <w:sz w:val="22"/>
          <w:szCs w:val="22"/>
        </w:rPr>
      </w:pPr>
      <w:r>
        <w:rPr>
          <w:rFonts w:cs="Wingdings" w:ascii="Century Gothic" w:hAnsi="Century Gothic"/>
          <w:sz w:val="22"/>
          <w:szCs w:val="22"/>
        </w:rPr>
        <w:t></w:t>
      </w:r>
      <w:r>
        <w:rPr>
          <w:rFonts w:ascii="Century Gothic" w:hAnsi="Century Gothic"/>
          <w:sz w:val="22"/>
          <w:szCs w:val="22"/>
        </w:rPr>
        <w:t xml:space="preserve">Problemas que se pretenden solucionar con la nueva norma. </w:t>
      </w:r>
    </w:p>
    <w:p>
      <w:pPr>
        <w:pStyle w:val="Default"/>
        <w:spacing w:before="0" w:after="10"/>
        <w:rPr>
          <w:rFonts w:ascii="Century Gothic" w:hAnsi="Century Gothic"/>
          <w:sz w:val="22"/>
          <w:szCs w:val="22"/>
        </w:rPr>
      </w:pPr>
      <w:r>
        <w:rPr>
          <w:rFonts w:cs="Wingdings" w:ascii="Century Gothic" w:hAnsi="Century Gothic"/>
          <w:sz w:val="22"/>
          <w:szCs w:val="22"/>
        </w:rPr>
        <w:t></w:t>
      </w:r>
      <w:r>
        <w:rPr>
          <w:rFonts w:ascii="Century Gothic" w:hAnsi="Century Gothic"/>
          <w:sz w:val="22"/>
          <w:szCs w:val="22"/>
        </w:rPr>
        <w:t xml:space="preserve">Necesidad y oportunidad de su aprobación. </w:t>
      </w:r>
    </w:p>
    <w:p>
      <w:pPr>
        <w:pStyle w:val="Default"/>
        <w:spacing w:before="0" w:after="10"/>
        <w:rPr>
          <w:rFonts w:ascii="Century Gothic" w:hAnsi="Century Gothic"/>
          <w:sz w:val="22"/>
          <w:szCs w:val="22"/>
        </w:rPr>
      </w:pPr>
      <w:r>
        <w:rPr>
          <w:rFonts w:cs="Wingdings" w:ascii="Century Gothic" w:hAnsi="Century Gothic"/>
          <w:sz w:val="22"/>
          <w:szCs w:val="22"/>
        </w:rPr>
        <w:t></w:t>
      </w:r>
      <w:r>
        <w:rPr>
          <w:rFonts w:ascii="Century Gothic" w:hAnsi="Century Gothic"/>
          <w:sz w:val="22"/>
          <w:szCs w:val="22"/>
        </w:rPr>
        <w:t xml:space="preserve">Objetivos de la norma. </w:t>
      </w:r>
    </w:p>
    <w:p>
      <w:pPr>
        <w:pStyle w:val="Default"/>
        <w:rPr>
          <w:rFonts w:ascii="Century Gothic" w:hAnsi="Century Gothic"/>
          <w:sz w:val="22"/>
          <w:szCs w:val="22"/>
        </w:rPr>
      </w:pPr>
      <w:r>
        <w:rPr>
          <w:rFonts w:cs="Wingdings" w:ascii="Century Gothic" w:hAnsi="Century Gothic"/>
          <w:sz w:val="22"/>
          <w:szCs w:val="22"/>
        </w:rPr>
        <w:t></w:t>
      </w:r>
      <w:r>
        <w:rPr>
          <w:rFonts w:ascii="Century Gothic" w:hAnsi="Century Gothic"/>
          <w:sz w:val="22"/>
          <w:szCs w:val="22"/>
        </w:rPr>
        <w:t xml:space="preserve">Posibles soluciones alternativas regulatorias y no regulatorias. </w:t>
      </w:r>
    </w:p>
    <w:p>
      <w:pPr>
        <w:pStyle w:val="Default"/>
        <w:rPr>
          <w:rFonts w:ascii="Century Gothic" w:hAnsi="Century Gothic"/>
          <w:sz w:val="22"/>
          <w:szCs w:val="22"/>
        </w:rPr>
      </w:pPr>
      <w:r>
        <w:rPr>
          <w:rFonts w:ascii="Century Gothic" w:hAnsi="Century Gothic"/>
          <w:sz w:val="22"/>
          <w:szCs w:val="22"/>
        </w:rPr>
      </w:r>
    </w:p>
    <w:p>
      <w:pPr>
        <w:pStyle w:val="Default"/>
        <w:jc w:val="both"/>
        <w:rPr/>
      </w:pPr>
      <w:r>
        <w:rPr>
          <w:rFonts w:cs="Calibri" w:ascii="Century Gothic" w:hAnsi="Century Gothic"/>
          <w:sz w:val="22"/>
          <w:szCs w:val="22"/>
        </w:rPr>
        <w:tab/>
        <w:t xml:space="preserve">Los ciudadanos, organizaciones y asociaciones que así lo consideren, pueden hacer llegar sus opiniones desde el día </w:t>
      </w:r>
      <w:r>
        <w:rPr>
          <w:rFonts w:cs="Calibri" w:ascii="Century Gothic" w:hAnsi="Century Gothic"/>
          <w:sz w:val="22"/>
          <w:szCs w:val="22"/>
        </w:rPr>
        <w:t xml:space="preserve">07/02/2018 </w:t>
      </w:r>
      <w:r>
        <w:rPr>
          <w:rFonts w:cs="Calibri" w:ascii="Century Gothic" w:hAnsi="Century Gothic"/>
          <w:sz w:val="22"/>
          <w:szCs w:val="22"/>
        </w:rPr>
        <w:t xml:space="preserve">hasta el día </w:t>
      </w:r>
      <w:r>
        <w:rPr>
          <w:rFonts w:cs="Calibri" w:ascii="Century Gothic" w:hAnsi="Century Gothic"/>
          <w:sz w:val="22"/>
          <w:szCs w:val="22"/>
        </w:rPr>
        <w:t>11/03/2018</w:t>
      </w:r>
      <w:r>
        <w:rPr>
          <w:rFonts w:cs="Calibri" w:ascii="Century Gothic" w:hAnsi="Century Gothic"/>
          <w:sz w:val="22"/>
          <w:szCs w:val="22"/>
        </w:rPr>
        <w:t xml:space="preserve">, a través del siguiente buzón de correo electrónico: </w:t>
      </w:r>
      <w:r>
        <w:rPr>
          <w:rFonts w:cs="Calibri" w:ascii="Century Gothic" w:hAnsi="Century Gothic"/>
          <w:sz w:val="22"/>
          <w:szCs w:val="22"/>
        </w:rPr>
        <w:t>sac@torrox.es</w:t>
      </w:r>
      <w:r>
        <w:rPr>
          <w:rFonts w:cs="Calibri" w:ascii="Century Gothic" w:hAnsi="Century Gothic"/>
          <w:color w:val="FF0000"/>
          <w:sz w:val="22"/>
          <w:szCs w:val="22"/>
        </w:rPr>
        <w:t>.</w:t>
      </w:r>
    </w:p>
    <w:p>
      <w:pPr>
        <w:pStyle w:val="Default"/>
        <w:rPr>
          <w:rFonts w:ascii="Century Gothic" w:hAnsi="Century Gothic" w:cs="Calibri"/>
          <w:sz w:val="22"/>
          <w:szCs w:val="22"/>
        </w:rPr>
      </w:pPr>
      <w:r>
        <w:rPr>
          <w:rFonts w:cs="Calibri" w:ascii="Century Gothic" w:hAnsi="Century Gothic"/>
          <w:sz w:val="22"/>
          <w:szCs w:val="22"/>
        </w:rPr>
      </w:r>
    </w:p>
    <w:p>
      <w:pPr>
        <w:pStyle w:val="Default"/>
        <w:rPr>
          <w:rFonts w:ascii="Century Gothic" w:hAnsi="Century Gothic"/>
          <w:sz w:val="22"/>
          <w:szCs w:val="22"/>
        </w:rPr>
      </w:pPr>
      <w:r>
        <w:rPr>
          <w:rFonts w:ascii="Century Gothic" w:hAnsi="Century Gothic"/>
          <w:sz w:val="22"/>
          <w:szCs w:val="22"/>
        </w:rPr>
      </w:r>
    </w:p>
    <w:p>
      <w:pPr>
        <w:pStyle w:val="Default"/>
        <w:jc w:val="center"/>
        <w:rPr/>
      </w:pPr>
      <w:r>
        <w:rPr>
          <w:rFonts w:ascii="Century Gothic" w:hAnsi="Century Gothic"/>
          <w:sz w:val="22"/>
          <w:szCs w:val="22"/>
        </w:rPr>
        <w:t>Torrox a 7 de febrero de 2018</w:t>
      </w:r>
    </w:p>
    <w:p>
      <w:pPr>
        <w:pStyle w:val="Normal"/>
        <w:jc w:val="center"/>
        <w:rPr>
          <w:rFonts w:ascii="Century Gothic" w:hAnsi="Century Gothic"/>
        </w:rPr>
      </w:pPr>
      <w:r>
        <w:rPr>
          <w:rFonts w:ascii="Century Gothic" w:hAnsi="Century Gothic"/>
        </w:rPr>
      </w:r>
    </w:p>
    <w:p>
      <w:pPr>
        <w:pStyle w:val="Normal"/>
        <w:ind w:left="0" w:hanging="0"/>
        <w:jc w:val="left"/>
        <w:rPr>
          <w:rFonts w:ascii="Calibri" w:hAnsi="Calibri" w:cs="Calibri"/>
          <w:color w:val="000000"/>
          <w:sz w:val="24"/>
          <w:szCs w:val="24"/>
        </w:rPr>
      </w:pPr>
      <w:r>
        <w:rPr>
          <w:rFonts w:cs="Calibri"/>
          <w:color w:val="000000"/>
          <w:sz w:val="24"/>
          <w:szCs w:val="24"/>
        </w:rPr>
      </w:r>
    </w:p>
    <w:p>
      <w:pPr>
        <w:pStyle w:val="Normal"/>
        <w:ind w:left="0" w:hanging="0"/>
        <w:jc w:val="left"/>
        <w:rPr>
          <w:rFonts w:ascii="Calibri" w:hAnsi="Calibri" w:cs="Calibri"/>
          <w:color w:val="000000"/>
          <w:sz w:val="24"/>
          <w:szCs w:val="24"/>
        </w:rPr>
      </w:pPr>
      <w:r>
        <w:rPr>
          <w:rFonts w:cs="Calibri"/>
          <w:color w:val="000000"/>
          <w:sz w:val="24"/>
          <w:szCs w:val="24"/>
        </w:rPr>
      </w:r>
    </w:p>
    <w:p>
      <w:pPr>
        <w:pStyle w:val="Normal"/>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tbl>
      <w:tblPr>
        <w:tblStyle w:val="Tablaconcuadrcula"/>
        <w:tblW w:w="9923" w:type="dxa"/>
        <w:jc w:val="left"/>
        <w:tblInd w:w="-459" w:type="dxa"/>
        <w:tblCellMar>
          <w:top w:w="0" w:type="dxa"/>
          <w:left w:w="108" w:type="dxa"/>
          <w:bottom w:w="0" w:type="dxa"/>
          <w:right w:w="108" w:type="dxa"/>
        </w:tblCellMar>
        <w:tblLook w:val="04a0"/>
      </w:tblPr>
      <w:tblGrid>
        <w:gridCol w:w="9923"/>
      </w:tblGrid>
      <w:tr>
        <w:trPr/>
        <w:tc>
          <w:tcPr>
            <w:tcW w:w="9923" w:type="dxa"/>
            <w:tcBorders/>
            <w:shd w:fill="auto" w:val="clear"/>
            <w:tcMar>
              <w:left w:w="108" w:type="dxa"/>
            </w:tcMar>
          </w:tcPr>
          <w:p>
            <w:pPr>
              <w:pStyle w:val="Normal"/>
              <w:ind w:left="0" w:hanging="0"/>
              <w:jc w:val="center"/>
              <w:rPr>
                <w:rFonts w:ascii="Arial Black" w:hAnsi="Arial Black" w:cs="Calibri"/>
                <w:color w:val="000000"/>
              </w:rPr>
            </w:pPr>
            <w:r>
              <w:rPr>
                <w:rFonts w:cs="Calibri" w:ascii="Arial Black" w:hAnsi="Arial Black"/>
                <w:color w:val="000000"/>
              </w:rPr>
              <w:t>PROBLEMAS QUE SE PRETENDEN SOLUCIONAR CON LA NUEVA NORMA</w:t>
            </w:r>
          </w:p>
          <w:p>
            <w:pPr>
              <w:pStyle w:val="Normal"/>
              <w:ind w:left="0" w:hanging="0"/>
              <w:rPr/>
            </w:pPr>
            <w:r>
              <w:rPr/>
            </w:r>
          </w:p>
        </w:tc>
      </w:tr>
      <w:tr>
        <w:trPr/>
        <w:tc>
          <w:tcPr>
            <w:tcW w:w="9923" w:type="dxa"/>
            <w:tcBorders/>
            <w:shd w:fill="auto" w:val="clear"/>
            <w:tcMar>
              <w:left w:w="108" w:type="dxa"/>
            </w:tcMar>
          </w:tcPr>
          <w:p>
            <w:pPr>
              <w:pStyle w:val="Normal"/>
              <w:ind w:left="0" w:hanging="0"/>
              <w:jc w:val="left"/>
              <w:rPr>
                <w:rFonts w:ascii="Century Gothic" w:hAnsi="Century Gothic" w:cs="Arial"/>
                <w:color w:val="2D2C30"/>
              </w:rPr>
            </w:pPr>
            <w:r>
              <w:rPr>
                <w:rFonts w:cs="Arial" w:ascii="Century Gothic" w:hAnsi="Century Gothic"/>
                <w:color w:val="2D2C30"/>
              </w:rPr>
              <w:t>Entre otros, se pretende dar solución a los siguientes problemas:</w:t>
            </w:r>
          </w:p>
          <w:p>
            <w:pPr>
              <w:pStyle w:val="Normal"/>
              <w:spacing w:before="60" w:after="60"/>
              <w:ind w:left="0" w:hanging="0"/>
              <w:rPr>
                <w:rFonts w:ascii="Century Gothic" w:hAnsi="Century Gothic" w:cs="Arial"/>
                <w:color w:val="2D2C30"/>
              </w:rPr>
            </w:pPr>
            <w:r>
              <w:rPr>
                <w:rFonts w:cs="Arial" w:ascii="Century Gothic" w:hAnsi="Century Gothic"/>
                <w:color w:val="2D2C30"/>
              </w:rPr>
              <w:t>*Hacer efectivo el acceso de los ciudadanos a una vivienda digna y adecuada a sus necesidades, en unas condiciones económicas proporcionales a los ingresos del hogar.</w:t>
            </w:r>
          </w:p>
          <w:p>
            <w:pPr>
              <w:pStyle w:val="Normal"/>
              <w:spacing w:before="60" w:after="60"/>
              <w:ind w:left="0" w:hanging="0"/>
              <w:rPr>
                <w:rFonts w:ascii="Century Gothic" w:hAnsi="Century Gothic" w:cs="Arial"/>
                <w:color w:val="2D2C30"/>
              </w:rPr>
            </w:pPr>
            <w:r>
              <w:rPr>
                <w:rFonts w:cs="Arial" w:ascii="Century Gothic" w:hAnsi="Century Gothic"/>
                <w:color w:val="2D2C30"/>
              </w:rPr>
              <w:t>* Determinar  las necesidades de vivienda de las familias residentes en el municipio, al objeto de definir  las intervenciones públicas que se deban llevar a cabo.</w:t>
            </w:r>
          </w:p>
          <w:p>
            <w:pPr>
              <w:pStyle w:val="Normal"/>
              <w:spacing w:before="60" w:after="60"/>
              <w:ind w:left="0" w:hanging="0"/>
              <w:rPr>
                <w:rFonts w:ascii="Century Gothic" w:hAnsi="Century Gothic" w:cs="Arial"/>
                <w:color w:val="2D2C30"/>
              </w:rPr>
            </w:pPr>
            <w:r>
              <w:rPr>
                <w:rFonts w:cs="Arial" w:ascii="Century Gothic" w:hAnsi="Century Gothic"/>
                <w:color w:val="2D2C30"/>
              </w:rPr>
              <w:t xml:space="preserve">*Determinar la demanda de vivienda no satisfecha y/o el potencial de demanda, clasificándola por niveles de renta, y la capacidad de respuesta con las viviendas que se puedan construir o rehabilitar dentro de las posibilidades del municipio y las ayudas que se contemplen. </w:t>
            </w:r>
          </w:p>
          <w:p>
            <w:pPr>
              <w:pStyle w:val="Normal"/>
              <w:spacing w:before="60" w:after="60"/>
              <w:ind w:left="0" w:hanging="0"/>
              <w:rPr>
                <w:rFonts w:ascii="Century Gothic" w:hAnsi="Century Gothic" w:cs="Arial"/>
                <w:color w:val="2D2C30"/>
              </w:rPr>
            </w:pPr>
            <w:r>
              <w:rPr>
                <w:rFonts w:cs="Arial" w:ascii="Century Gothic" w:hAnsi="Century Gothic"/>
                <w:color w:val="2D2C30"/>
              </w:rPr>
              <w:t>*Erradicar los asentamientos chabolistas o personas que viven en viviendas inseguras  como  caravanas, chabolas, estructuras temporales, etc. , así como casas en ruina y eliminación de la infravivienda.</w:t>
            </w:r>
          </w:p>
          <w:p>
            <w:pPr>
              <w:pStyle w:val="Normal"/>
              <w:spacing w:before="60" w:after="60"/>
              <w:ind w:left="0" w:hanging="0"/>
              <w:rPr>
                <w:rFonts w:ascii="Century Gothic" w:hAnsi="Century Gothic" w:cs="Arial"/>
                <w:color w:val="2D2C30"/>
              </w:rPr>
            </w:pPr>
            <w:r>
              <w:rPr>
                <w:rFonts w:cs="Arial" w:ascii="Century Gothic" w:hAnsi="Century Gothic"/>
                <w:color w:val="2D2C30"/>
              </w:rPr>
              <w:t xml:space="preserve">*Facilitar el cambio o permuta de vivienda a aquellas familias que posean una inadecuada a sus necesidades personales o familiares o estén en ruina. </w:t>
            </w:r>
          </w:p>
          <w:p>
            <w:pPr>
              <w:pStyle w:val="Normal"/>
              <w:spacing w:before="60" w:after="60"/>
              <w:ind w:left="0" w:hanging="0"/>
              <w:rPr>
                <w:rFonts w:ascii="Century Gothic" w:hAnsi="Century Gothic" w:cs="Arial"/>
                <w:color w:val="2D2C30"/>
              </w:rPr>
            </w:pPr>
            <w:r>
              <w:rPr>
                <w:rFonts w:cs="Arial" w:ascii="Century Gothic" w:hAnsi="Century Gothic"/>
                <w:color w:val="2D2C30"/>
              </w:rPr>
              <w:t xml:space="preserve">*Cubrir las necesidades de vivienda estableciendo  una oferta de vivienda protegida de nueva construcción en compra, alquiler con opción a compra y alquiler que satisfaga la demanda en el marco temporal pertinente, apoyándose en los programas que se regulen en los Planes Estatal y Autonómico de Vivienda y en el propio Plan Municipal. </w:t>
            </w:r>
          </w:p>
          <w:p>
            <w:pPr>
              <w:pStyle w:val="Normal"/>
              <w:spacing w:before="60" w:after="60"/>
              <w:ind w:left="0" w:hanging="0"/>
              <w:jc w:val="left"/>
              <w:rPr>
                <w:rFonts w:ascii="Century Gothic" w:hAnsi="Century Gothic" w:cs="Arial"/>
                <w:color w:val="2D2C30"/>
              </w:rPr>
            </w:pPr>
            <w:r>
              <w:rPr>
                <w:rFonts w:cs="Arial" w:ascii="Century Gothic" w:hAnsi="Century Gothic"/>
                <w:color w:val="2D2C30"/>
              </w:rPr>
              <w:t>*Evitar y prevenir los fenómenos de discriminación, exclusión, segregación o acoso sobre los colectivos más vulnerables, así como la pérdida de su vivienda, como consecuencia de una ejecución hipotecaria o por morosidad del pago del alquiler.</w:t>
            </w:r>
          </w:p>
          <w:p>
            <w:pPr>
              <w:pStyle w:val="Normal"/>
              <w:spacing w:before="60" w:after="60"/>
              <w:ind w:left="0" w:hanging="0"/>
              <w:rPr>
                <w:rFonts w:ascii="Century Gothic" w:hAnsi="Century Gothic" w:cs="Arial"/>
                <w:color w:val="2D2C30"/>
              </w:rPr>
            </w:pPr>
            <w:r>
              <w:rPr>
                <w:rFonts w:cs="Arial" w:ascii="Century Gothic" w:hAnsi="Century Gothic"/>
                <w:color w:val="2D2C30"/>
              </w:rPr>
              <w:t>* Impulsar las medidas suficientes para la rehabilitación, conservación y adecuación funcional y de ahorro energético del parque de viviendas y mejorar  la eficiencia del uso de dicho parque de viviendas</w:t>
            </w:r>
          </w:p>
          <w:p>
            <w:pPr>
              <w:pStyle w:val="Normal"/>
              <w:spacing w:before="60" w:after="60"/>
              <w:ind w:left="0" w:hanging="0"/>
              <w:rPr>
                <w:rFonts w:ascii="Century Gothic" w:hAnsi="Century Gothic" w:cs="Arial"/>
                <w:color w:val="2D2C30"/>
              </w:rPr>
            </w:pPr>
            <w:r>
              <w:rPr>
                <w:rFonts w:cs="Arial" w:ascii="Century Gothic" w:hAnsi="Century Gothic"/>
                <w:color w:val="2D2C30"/>
              </w:rPr>
              <w:t>*Solucionar los desequilibrios entre el precio de la vivienda en el mercado libre y  el que puede ofertar los  solicitantes de vivienda</w:t>
            </w:r>
          </w:p>
          <w:p>
            <w:pPr>
              <w:pStyle w:val="Normal"/>
              <w:spacing w:before="60" w:after="60"/>
              <w:ind w:left="0" w:hanging="0"/>
              <w:rPr>
                <w:rFonts w:ascii="Century Gothic" w:hAnsi="Century Gothic" w:cs="Arial"/>
                <w:color w:val="2D2C30"/>
              </w:rPr>
            </w:pPr>
            <w:r>
              <w:rPr>
                <w:rFonts w:cs="Arial" w:ascii="Century Gothic" w:hAnsi="Century Gothic"/>
                <w:color w:val="2D2C30"/>
              </w:rPr>
              <w:t>*Mejorar las deficiencias del parque de viviendas, falta de urbanización o que ésta resulte insuficiente.</w:t>
            </w:r>
          </w:p>
          <w:p>
            <w:pPr>
              <w:pStyle w:val="Normal"/>
              <w:spacing w:before="60" w:after="60"/>
              <w:ind w:left="0" w:hanging="0"/>
              <w:rPr>
                <w:rFonts w:ascii="Century Gothic" w:hAnsi="Century Gothic" w:cs="Arial"/>
                <w:color w:val="2D2C30"/>
              </w:rPr>
            </w:pPr>
            <w:r>
              <w:rPr>
                <w:rFonts w:cs="Arial" w:ascii="Century Gothic" w:hAnsi="Century Gothic"/>
                <w:color w:val="2D2C30"/>
              </w:rPr>
              <w:t>* Subsanar las  viviendas en estado ruinoso o con problemas estructurales o constructivos graves.</w:t>
            </w:r>
          </w:p>
          <w:p>
            <w:pPr>
              <w:pStyle w:val="Normal"/>
              <w:spacing w:before="60" w:after="60"/>
              <w:ind w:left="0" w:hanging="0"/>
              <w:rPr>
                <w:rFonts w:ascii="Century Gothic" w:hAnsi="Century Gothic" w:cs="Arial"/>
                <w:color w:val="2D2C30"/>
              </w:rPr>
            </w:pPr>
            <w:r>
              <w:rPr>
                <w:rFonts w:cs="Arial" w:ascii="Century Gothic" w:hAnsi="Century Gothic"/>
                <w:color w:val="2D2C30"/>
              </w:rPr>
              <w:t>* Detectar y solucionar los problemas de viviendas con sobreocupación.</w:t>
            </w:r>
          </w:p>
          <w:p>
            <w:pPr>
              <w:pStyle w:val="Normal"/>
              <w:spacing w:before="60" w:after="60"/>
              <w:ind w:left="0" w:hanging="0"/>
              <w:rPr>
                <w:rFonts w:ascii="Century Gothic" w:hAnsi="Century Gothic" w:cs="Arial"/>
                <w:color w:val="2D2C30"/>
              </w:rPr>
            </w:pPr>
            <w:r>
              <w:rPr>
                <w:rFonts w:cs="Arial" w:ascii="Century Gothic" w:hAnsi="Century Gothic"/>
                <w:color w:val="2D2C30"/>
              </w:rPr>
              <w:t>*Eliminar situaciones de ocupación anómala de viviendas: viviendas deshabitadas existentes en el municipio que puedan incluirse en el mercado del alquiler.</w:t>
            </w:r>
          </w:p>
          <w:p>
            <w:pPr>
              <w:pStyle w:val="Normal"/>
              <w:spacing w:before="60" w:after="60"/>
              <w:ind w:left="0" w:hanging="0"/>
              <w:rPr>
                <w:rFonts w:ascii="Century Gothic" w:hAnsi="Century Gothic" w:cs="Arial"/>
                <w:color w:val="2D2C30"/>
              </w:rPr>
            </w:pPr>
            <w:r>
              <w:rPr>
                <w:rFonts w:cs="Arial" w:ascii="Century Gothic" w:hAnsi="Century Gothic"/>
                <w:color w:val="2D2C30"/>
              </w:rPr>
              <w:t>*Facilitar el cambio o permuta de vivienda a aquellas familias que posean una inadecuada a sus necesidades personales o familiares.</w:t>
            </w:r>
          </w:p>
          <w:p>
            <w:pPr>
              <w:pStyle w:val="Normal"/>
              <w:spacing w:before="60" w:after="60"/>
              <w:ind w:left="0" w:hanging="0"/>
              <w:rPr>
                <w:rFonts w:ascii="Century Gothic" w:hAnsi="Century Gothic" w:cs="Arial"/>
                <w:color w:val="2D2C30"/>
              </w:rPr>
            </w:pPr>
            <w:r>
              <w:rPr>
                <w:rFonts w:cs="Arial" w:ascii="Century Gothic" w:hAnsi="Century Gothic"/>
                <w:color w:val="2D2C30"/>
              </w:rPr>
              <w:t>* Facilitar el acceso a una vivienda digna a las personas sin techo y otros colectivos en situación o riesgo de exclusión social, así como personas que viven en viviendas   en situación de inseguridad jurídica (ocupación ilegal o sin título, de inmigrantes en situación irregular) o  económica (en situación o en proceso legal de desahucio, con  graves  problemas  para  hacer frente a los gastos de la vivienda) o por violencia en el ámbito familiar.</w:t>
            </w:r>
          </w:p>
        </w:tc>
      </w:tr>
    </w:tbl>
    <w:p>
      <w:pPr>
        <w:pStyle w:val="Normal"/>
        <w:ind w:left="0" w:hanging="0"/>
        <w:rPr/>
      </w:pPr>
      <w:r>
        <w:rPr/>
      </w:r>
    </w:p>
    <w:p>
      <w:pPr>
        <w:pStyle w:val="Normal"/>
        <w:ind w:left="0" w:hanging="0"/>
        <w:rPr/>
      </w:pPr>
      <w:r>
        <w:rPr/>
      </w:r>
    </w:p>
    <w:p>
      <w:pPr>
        <w:pStyle w:val="Normal"/>
        <w:ind w:left="0" w:hanging="0"/>
        <w:rPr/>
      </w:pPr>
      <w:r>
        <w:rPr/>
      </w:r>
    </w:p>
    <w:tbl>
      <w:tblPr>
        <w:tblStyle w:val="Tablaconcuadrcula"/>
        <w:tblW w:w="9923" w:type="dxa"/>
        <w:jc w:val="left"/>
        <w:tblInd w:w="-459" w:type="dxa"/>
        <w:tblCellMar>
          <w:top w:w="0" w:type="dxa"/>
          <w:left w:w="108" w:type="dxa"/>
          <w:bottom w:w="0" w:type="dxa"/>
          <w:right w:w="108" w:type="dxa"/>
        </w:tblCellMar>
        <w:tblLook w:val="04a0"/>
      </w:tblPr>
      <w:tblGrid>
        <w:gridCol w:w="9923"/>
      </w:tblGrid>
      <w:tr>
        <w:trPr>
          <w:trHeight w:val="425" w:hRule="atLeast"/>
        </w:trPr>
        <w:tc>
          <w:tcPr>
            <w:tcW w:w="9923" w:type="dxa"/>
            <w:tcBorders>
              <w:bottom w:val="single" w:sz="4" w:space="0" w:color="00000A"/>
              <w:insideH w:val="single" w:sz="4" w:space="0" w:color="00000A"/>
            </w:tcBorders>
            <w:shd w:fill="auto" w:val="clear"/>
            <w:tcMar>
              <w:left w:w="108" w:type="dxa"/>
            </w:tcMar>
          </w:tcPr>
          <w:p>
            <w:pPr>
              <w:pStyle w:val="Normal"/>
              <w:ind w:left="0" w:hanging="0"/>
              <w:jc w:val="center"/>
              <w:rPr>
                <w:rFonts w:ascii="Arial Black" w:hAnsi="Arial Black"/>
                <w:b/>
                <w:b/>
                <w:sz w:val="4"/>
                <w:szCs w:val="4"/>
              </w:rPr>
            </w:pPr>
            <w:r>
              <w:rPr>
                <w:rFonts w:ascii="Arial Black" w:hAnsi="Arial Black"/>
                <w:b/>
                <w:sz w:val="4"/>
                <w:szCs w:val="4"/>
              </w:rPr>
            </w:r>
          </w:p>
          <w:p>
            <w:pPr>
              <w:pStyle w:val="Normal"/>
              <w:ind w:left="0" w:hanging="0"/>
              <w:jc w:val="center"/>
              <w:rPr>
                <w:rFonts w:ascii="Arial Black" w:hAnsi="Arial Black"/>
              </w:rPr>
            </w:pPr>
            <w:r>
              <w:rPr>
                <w:rFonts w:ascii="Arial Black" w:hAnsi="Arial Black"/>
              </w:rPr>
              <w:t>NECESIDAD Y OPORTUNIDAD DE SU APROBACIÓN</w:t>
            </w:r>
          </w:p>
        </w:tc>
      </w:tr>
      <w:tr>
        <w:trPr>
          <w:trHeight w:val="13035" w:hRule="atLeast"/>
        </w:trPr>
        <w:tc>
          <w:tcPr>
            <w:tcW w:w="9923" w:type="dxa"/>
            <w:tcBorders>
              <w:top w:val="single" w:sz="4" w:space="0" w:color="00000A"/>
            </w:tcBorders>
            <w:shd w:fill="auto" w:val="clear"/>
            <w:tcMar>
              <w:left w:w="108" w:type="dxa"/>
            </w:tcMar>
          </w:tcPr>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 xml:space="preserve">Para hacer efectivo el mandato constitucional del  </w:t>
            </w:r>
            <w:r>
              <w:rPr>
                <w:rFonts w:ascii="Century Gothic" w:hAnsi="Century Gothic"/>
                <w:b/>
                <w:szCs w:val="20"/>
              </w:rPr>
              <w:t xml:space="preserve">artículo 47  </w:t>
            </w:r>
            <w:r>
              <w:rPr>
                <w:rFonts w:ascii="Century Gothic" w:hAnsi="Century Gothic"/>
                <w:szCs w:val="20"/>
              </w:rPr>
              <w:t>en el que se consagra el derecho de todos los españoles a una vivienda digna, y el deber de todos los poderes públicos de promover las condiciones necesarias que garanticen el acceso a la misma, se  va a proceder a redactar el Plan Municipal de Vivienda y Suelo de ______________.</w:t>
            </w:r>
          </w:p>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 xml:space="preserve"> </w:t>
            </w:r>
            <w:r>
              <w:rPr>
                <w:rFonts w:ascii="Century Gothic" w:hAnsi="Century Gothic"/>
                <w:szCs w:val="20"/>
              </w:rPr>
              <w:t>El Plan municipal de vivienda y suelo es un documento técnico de carácter estratégico o planificador y al mismo tiempo de contenido operativo o programático que, partiendo del análisis de la situación de la vivienda en el municipio y de las condiciones de contexto (socioeconómicas, urbanísticas, de organización municipal, etc.) donde esta situación se produce, define las estrategias y concreta las actuaciones a promover con el objeto de fomentar el logro del derecho de los ciudadanos a disfrutar de una vivienda digna en condiciones asequibles.</w:t>
            </w:r>
          </w:p>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Al  entendimiento del urbanismo como una función pública responde  este instrumento  que  la Comunidad Autónoma Andaluza, a través de la Ley de Ordenación Urbanística de Andalucía (LOUA) regula para facilitar  la disponibilidad de suelo, con el objetivo de poder realizar políticas públicas de vivienda, en combinación con los patrimonios públicos de suelo para permitir   una oferta suficiente de viviendas con algún tipo de protección pública.</w:t>
            </w:r>
          </w:p>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De este modo, la LOUA establece la obligatoriedad, en su artículo 10. 1 A) b), de que los Planes Generales de Ordenación Urbana de los municipios contengan disposiciones que garanticen  suelo suficiente para viviendas protegidas, mediante reservas de al menos el 30% de la edificabilidad residencial del sector o área de reforma interior, en los términos previstos en el Plan Municipal de Vivienda y Suelo, que podrá  aumentar este porcentaje para atender las necesidades del municipio.</w:t>
            </w:r>
          </w:p>
          <w:p>
            <w:pPr>
              <w:pStyle w:val="Normal"/>
              <w:ind w:left="0" w:hanging="0"/>
              <w:jc w:val="left"/>
              <w:rPr>
                <w:rFonts w:ascii="Century Gothic" w:hAnsi="Century Gothic" w:cs="Century Gothic"/>
                <w:sz w:val="16"/>
                <w:szCs w:val="16"/>
              </w:rPr>
            </w:pPr>
            <w:r>
              <w:rPr>
                <w:rFonts w:cs="Century Gothic" w:ascii="Century Gothic" w:hAnsi="Century Gothic"/>
                <w:sz w:val="16"/>
                <w:szCs w:val="16"/>
              </w:rPr>
            </w:r>
          </w:p>
          <w:p>
            <w:pPr>
              <w:pStyle w:val="Normal"/>
              <w:ind w:left="0" w:hanging="0"/>
              <w:rPr>
                <w:rFonts w:ascii="Century Gothic" w:hAnsi="Century Gothic"/>
                <w:szCs w:val="20"/>
              </w:rPr>
            </w:pPr>
            <w:r>
              <w:rPr>
                <w:rFonts w:ascii="Century Gothic" w:hAnsi="Century Gothic"/>
                <w:szCs w:val="20"/>
              </w:rPr>
              <w:t>Igualmente si, del estudio de las necesidades presentes y futuras de la población, el Plan Municipal de Vivienda y Suelo arroja una demanda de vivienda protegida acogida al Plan Andaluz de Vivienda y Suelo inferior al 30% de reserva  la diferencia hasta alcanzar éste deberá  destinarse a viviendas sujetas a algún régimen de protección municipal que, al menos, limite su precio máximo en venta o alquiler y establezca los requisitos que han de cumplir los destinatarios de las mismas, en el marco de lo establecido en la legislación reguladora del derecho a la vivienda en la Comunidad Autónoma de Andalucía. Dicho régimen de protección municipal deberá quedar establecido en el citado Plan municipal.</w:t>
            </w:r>
          </w:p>
          <w:p>
            <w:pPr>
              <w:pStyle w:val="Normal"/>
              <w:ind w:left="0" w:hanging="0"/>
              <w:jc w:val="left"/>
              <w:rPr>
                <w:rFonts w:ascii="Century Gothic" w:hAnsi="Century Gothic" w:cs="Century Gothic"/>
                <w:sz w:val="16"/>
                <w:szCs w:val="16"/>
              </w:rPr>
            </w:pPr>
            <w:r>
              <w:rPr>
                <w:rFonts w:cs="Century Gothic" w:ascii="Century Gothic" w:hAnsi="Century Gothic"/>
                <w:sz w:val="16"/>
                <w:szCs w:val="16"/>
              </w:rPr>
            </w:r>
          </w:p>
          <w:p>
            <w:pPr>
              <w:pStyle w:val="Normal"/>
              <w:ind w:left="0" w:hanging="0"/>
              <w:jc w:val="left"/>
              <w:rPr>
                <w:rFonts w:ascii="Century Gothic" w:hAnsi="Century Gothic" w:cs="Century Gothic"/>
                <w:sz w:val="16"/>
                <w:szCs w:val="16"/>
              </w:rPr>
            </w:pPr>
            <w:r>
              <w:rPr>
                <w:rFonts w:cs="Century Gothic" w:ascii="Century Gothic" w:hAnsi="Century Gothic"/>
                <w:sz w:val="16"/>
                <w:szCs w:val="16"/>
              </w:rPr>
            </w:r>
          </w:p>
          <w:p>
            <w:pPr>
              <w:pStyle w:val="Normal"/>
              <w:ind w:left="0" w:hanging="0"/>
              <w:rPr>
                <w:szCs w:val="20"/>
              </w:rPr>
            </w:pPr>
            <w:r>
              <w:rPr>
                <w:rFonts w:ascii="Century Gothic" w:hAnsi="Century Gothic"/>
                <w:szCs w:val="20"/>
              </w:rPr>
              <w:t>La LOUA permite la compensación económica de la reserva de suelo, siempre que se trate de ámbitos que tengan una densidad inferior a quince viviendas por hectárea y no se consideren aptos para la construcción de viviendas protegidas, y se justifique en el planeamiento general, de acuerdo con las previsiones de los Planes Municipales de Vivienda y Suelo, o en la revisión del mismo, que la disponibilidad de suelo calificado para éstas es suficiente para abastecer las necesidades de población del municipio. De esta, forma se facilita la reconducción a la legalidad urbanística de aquellos asentamientos urbanísticos surgidos al margen de planeamiento urbanístico municipal cuando proceda su incorporación al mismo</w:t>
            </w:r>
            <w:r>
              <w:rPr>
                <w:szCs w:val="20"/>
              </w:rPr>
              <w:t>.</w:t>
            </w:r>
          </w:p>
          <w:p>
            <w:pPr>
              <w:pStyle w:val="Normal"/>
              <w:ind w:left="0" w:hanging="0"/>
              <w:rPr>
                <w:szCs w:val="20"/>
              </w:rPr>
            </w:pPr>
            <w:r>
              <w:rPr>
                <w:szCs w:val="20"/>
              </w:rPr>
            </w:r>
          </w:p>
          <w:p>
            <w:pPr>
              <w:pStyle w:val="Normal"/>
              <w:ind w:left="0" w:hanging="0"/>
              <w:jc w:val="left"/>
              <w:rPr>
                <w:rFonts w:ascii="Century Gothic" w:hAnsi="Century Gothic" w:cs="Century Gothic"/>
                <w:sz w:val="16"/>
                <w:szCs w:val="16"/>
              </w:rPr>
            </w:pPr>
            <w:r>
              <w:rPr>
                <w:rFonts w:cs="Century Gothic" w:ascii="Century Gothic" w:hAnsi="Century Gothic"/>
                <w:sz w:val="16"/>
                <w:szCs w:val="16"/>
              </w:rPr>
            </w:r>
          </w:p>
          <w:p>
            <w:pPr>
              <w:pStyle w:val="Normal"/>
              <w:ind w:left="0" w:hanging="0"/>
              <w:rPr>
                <w:szCs w:val="20"/>
              </w:rPr>
            </w:pPr>
            <w:r>
              <w:rPr>
                <w:szCs w:val="20"/>
              </w:rPr>
            </w:r>
          </w:p>
          <w:p>
            <w:pPr>
              <w:pStyle w:val="Normal"/>
              <w:ind w:left="0" w:hanging="0"/>
              <w:rPr>
                <w:rFonts w:ascii="Century Gothic" w:hAnsi="Century Gothic"/>
                <w:szCs w:val="20"/>
              </w:rPr>
            </w:pPr>
            <w:r>
              <w:rPr>
                <w:rFonts w:ascii="Century Gothic" w:hAnsi="Century Gothic"/>
                <w:szCs w:val="20"/>
              </w:rPr>
              <w:t xml:space="preserve">Para reforzar  y ampliar el esfuerzo de las Administraciones  en este sentido se aprobó la Ley 13/2005, de 11 de noviembre, de medidas para la vivienda protegida y el suelo, que modificaba y complementaba determinados aspectos  de la LOUA. </w:t>
            </w:r>
          </w:p>
          <w:p>
            <w:pPr>
              <w:pStyle w:val="Normal"/>
              <w:rPr>
                <w:szCs w:val="20"/>
              </w:rPr>
            </w:pPr>
            <w:r>
              <w:rPr>
                <w:szCs w:val="20"/>
              </w:rPr>
            </w:r>
          </w:p>
          <w:p>
            <w:pPr>
              <w:pStyle w:val="Normal"/>
              <w:ind w:left="0" w:hanging="0"/>
              <w:rPr>
                <w:rFonts w:ascii="Century Gothic" w:hAnsi="Century Gothic"/>
                <w:szCs w:val="20"/>
              </w:rPr>
            </w:pPr>
            <w:r>
              <w:rPr>
                <w:rFonts w:ascii="Century Gothic" w:hAnsi="Century Gothic"/>
                <w:szCs w:val="20"/>
              </w:rPr>
              <w:t>Conscientes de la dificultad de acceso a la vivienda que padece una parte importante de la población, así como de la obligación que tienen las Administraciones Públicas de favorecer el derecho a una vivienda digna, adecuada a su situación familiar, económica y social, surge en el año 2010 la Ley Reguladora del Derecho a la Vivienda en Andalucía.</w:t>
            </w:r>
          </w:p>
          <w:p>
            <w:pPr>
              <w:pStyle w:val="Normal"/>
              <w:ind w:left="0" w:hanging="0"/>
              <w:rPr>
                <w:rFonts w:ascii="Century Gothic" w:hAnsi="Century Gothic"/>
                <w:szCs w:val="20"/>
              </w:rPr>
            </w:pPr>
            <w:r>
              <w:rPr>
                <w:rFonts w:ascii="Century Gothic" w:hAnsi="Century Gothic"/>
                <w:szCs w:val="20"/>
              </w:rPr>
              <w:t>Esta ley, que ha sido modificada por la  Ley 4/2013, de 1 de octubre, de medidas para asegurar el cumplimiento de la función social de la vivienda, establece que los Ayuntamientos elaborarán y aprobarán sus correspondientes planes municipales de vivienda y suelo de forma coordinada con el planeamiento urbanístico general, manteniendo la necesaria coherencia con lo establecido en el Plan Andaluz de Vivienda y Suelo.</w:t>
            </w:r>
          </w:p>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La elaboración de este Plan Municipal de Vivienda y suelo tiene su causa  en la exigencia  de   recoger las necesidades de vivienda del municipio, conocidas a través de los Registros Municipales de Demandantes de Vivienda Protegida, cuya creación también establece la Ley, y detallar las actuaciones que se deban impulsar en la localidad para responder a esta demanda.</w:t>
            </w:r>
          </w:p>
          <w:p>
            <w:pPr>
              <w:pStyle w:val="Normal"/>
              <w:ind w:left="0" w:hanging="0"/>
              <w:rPr>
                <w:rFonts w:ascii="Century Gothic" w:hAnsi="Century Gothic"/>
                <w:szCs w:val="20"/>
              </w:rPr>
            </w:pPr>
            <w:r>
              <w:rPr>
                <w:rFonts w:ascii="Century Gothic" w:hAnsi="Century Gothic"/>
                <w:szCs w:val="20"/>
              </w:rPr>
            </w:r>
          </w:p>
          <w:p>
            <w:pPr>
              <w:pStyle w:val="Normal"/>
              <w:ind w:left="0" w:hanging="0"/>
              <w:rPr>
                <w:rFonts w:ascii="Century Gothic" w:hAnsi="Century Gothic"/>
                <w:szCs w:val="20"/>
              </w:rPr>
            </w:pPr>
            <w:r>
              <w:rPr>
                <w:rFonts w:ascii="Century Gothic" w:hAnsi="Century Gothic"/>
                <w:szCs w:val="20"/>
              </w:rPr>
              <w:t>El Plan Estatal 2013-2016 de Fomento del alquiler de viviendas, la rehabilitación edificatoria y la regeneración urbanas, aprobado por Real Decreto 233/2013 de 5 de abril,  y prorrogado durante el año 2017, mediante  el   Real Decreto núm. 637/2016, de 9 de diciembre, establece  la conveniencia de que los Ayuntamientos redacten un Plan Municipal de Vivienda, como forma de implementar en el ámbito territorial sus distintos programas.</w:t>
            </w:r>
          </w:p>
          <w:p>
            <w:pPr>
              <w:pStyle w:val="Normal"/>
              <w:ind w:left="0" w:hanging="0"/>
              <w:jc w:val="left"/>
              <w:rPr>
                <w:szCs w:val="20"/>
              </w:rPr>
            </w:pPr>
            <w:r>
              <w:rPr>
                <w:szCs w:val="20"/>
              </w:rPr>
            </w:r>
          </w:p>
          <w:p>
            <w:pPr>
              <w:pStyle w:val="Normal"/>
              <w:ind w:left="0" w:hanging="0"/>
              <w:rPr>
                <w:rFonts w:ascii="Century Gothic" w:hAnsi="Century Gothic"/>
                <w:szCs w:val="20"/>
              </w:rPr>
            </w:pPr>
            <w:r>
              <w:rPr>
                <w:rFonts w:ascii="Century Gothic" w:hAnsi="Century Gothic"/>
                <w:szCs w:val="20"/>
              </w:rPr>
              <w:t>Enlazando con el nuevo Plan Estatal, la Ley 8/2013 de 26 de junio, de rehabilitación, regeneración y renovación urbanas, propone como objetivos, potenciar la rehabilitación edificatoria así como la regeneración y renovación urbanas.</w:t>
            </w:r>
          </w:p>
          <w:p>
            <w:pPr>
              <w:pStyle w:val="Normal"/>
              <w:ind w:left="0" w:hanging="0"/>
              <w:rPr>
                <w:szCs w:val="20"/>
              </w:rPr>
            </w:pPr>
            <w:r>
              <w:rPr>
                <w:szCs w:val="20"/>
              </w:rPr>
            </w:r>
          </w:p>
          <w:p>
            <w:pPr>
              <w:pStyle w:val="Normal"/>
              <w:ind w:left="0" w:hanging="0"/>
              <w:rPr>
                <w:rFonts w:ascii="Century Gothic" w:hAnsi="Century Gothic"/>
                <w:szCs w:val="20"/>
              </w:rPr>
            </w:pPr>
            <w:r>
              <w:rPr>
                <w:rFonts w:ascii="Century Gothic" w:hAnsi="Century Gothic"/>
                <w:szCs w:val="20"/>
              </w:rPr>
              <w:t>La Ley 1/2010, de 8 de marzo, reguladora del Derecho a la Vivienda en Andalucía establece la obligatoriedad para los municipios de la figura de los planes municipales de vivienda y suelo.</w:t>
            </w:r>
          </w:p>
          <w:p>
            <w:pPr>
              <w:pStyle w:val="Normal"/>
              <w:ind w:left="0" w:hanging="0"/>
              <w:rPr>
                <w:rFonts w:ascii="Century Gothic" w:hAnsi="Century Gothic"/>
                <w:szCs w:val="20"/>
              </w:rPr>
            </w:pPr>
            <w:r>
              <w:rPr>
                <w:rFonts w:ascii="Century Gothic" w:hAnsi="Century Gothic"/>
                <w:szCs w:val="20"/>
              </w:rPr>
              <w:t>Así mismo la Disposición Final Segunda de la Ley 1/2010 otorga a los Ayuntamientos un plazo de 2 años a contar desde la entrada en vigor de la Ley (09/03/2010).</w:t>
            </w:r>
          </w:p>
          <w:p>
            <w:pPr>
              <w:pStyle w:val="Normal"/>
              <w:ind w:left="0" w:hanging="0"/>
              <w:rPr>
                <w:szCs w:val="20"/>
              </w:rPr>
            </w:pPr>
            <w:r>
              <w:rPr>
                <w:szCs w:val="20"/>
              </w:rPr>
            </w:r>
          </w:p>
          <w:p>
            <w:pPr>
              <w:pStyle w:val="Normal"/>
              <w:ind w:left="0" w:hanging="0"/>
              <w:rPr>
                <w:szCs w:val="20"/>
              </w:rPr>
            </w:pPr>
            <w:r>
              <w:rPr>
                <w:rFonts w:ascii="Century Gothic" w:hAnsi="Century Gothic"/>
                <w:szCs w:val="20"/>
              </w:rPr>
              <w:t>Posteriormente en el año 2012, se aprobó el Decreto 1/2012, de 10 de enero, por el que se aprueba el Reglamento Regulador de los Registros Públicos Municipales de Demandantes de Vivienda Protegida con el que se introdujo como sistema de selección el Registro Público Municipal de Demandantes de Vivienda Protegidas</w:t>
            </w:r>
            <w:r>
              <w:rPr>
                <w:szCs w:val="20"/>
              </w:rPr>
              <w:t xml:space="preserve">. </w:t>
            </w:r>
          </w:p>
          <w:p>
            <w:pPr>
              <w:pStyle w:val="Normal"/>
              <w:ind w:left="0" w:hanging="0"/>
              <w:rPr>
                <w:b/>
                <w:b/>
                <w:szCs w:val="20"/>
              </w:rPr>
            </w:pPr>
            <w:r>
              <w:rPr>
                <w:b/>
                <w:szCs w:val="20"/>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rFonts w:ascii="Century Gothic" w:hAnsi="Century Gothic"/>
                <w:szCs w:val="20"/>
              </w:rPr>
            </w:pPr>
            <w:r>
              <w:rPr>
                <w:rFonts w:ascii="Century Gothic" w:hAnsi="Century Gothic"/>
                <w:szCs w:val="20"/>
              </w:rPr>
            </w:r>
          </w:p>
        </w:tc>
      </w:tr>
    </w:tbl>
    <w:p>
      <w:pPr>
        <w:pStyle w:val="Normal"/>
        <w:rPr/>
      </w:pPr>
      <w:r>
        <w:rPr/>
      </w:r>
    </w:p>
    <w:p>
      <w:pPr>
        <w:pStyle w:val="Normal"/>
        <w:rPr/>
      </w:pPr>
      <w:r>
        <w:rPr/>
      </w:r>
    </w:p>
    <w:tbl>
      <w:tblPr>
        <w:tblStyle w:val="Tablaconcuadrcula"/>
        <w:tblW w:w="9923" w:type="dxa"/>
        <w:jc w:val="left"/>
        <w:tblInd w:w="-459" w:type="dxa"/>
        <w:tblCellMar>
          <w:top w:w="0" w:type="dxa"/>
          <w:left w:w="108" w:type="dxa"/>
          <w:bottom w:w="0" w:type="dxa"/>
          <w:right w:w="108" w:type="dxa"/>
        </w:tblCellMar>
        <w:tblLook w:val="04a0"/>
      </w:tblPr>
      <w:tblGrid>
        <w:gridCol w:w="9923"/>
      </w:tblGrid>
      <w:tr>
        <w:trPr/>
        <w:tc>
          <w:tcPr>
            <w:tcW w:w="9923" w:type="dxa"/>
            <w:tcBorders/>
            <w:shd w:fill="auto" w:val="clear"/>
            <w:tcMar>
              <w:left w:w="108" w:type="dxa"/>
            </w:tcMar>
          </w:tcPr>
          <w:p>
            <w:pPr>
              <w:pStyle w:val="Normal"/>
              <w:ind w:left="0" w:hanging="0"/>
              <w:jc w:val="center"/>
              <w:rPr>
                <w:rFonts w:ascii="Arial Black" w:hAnsi="Arial Black"/>
              </w:rPr>
            </w:pPr>
            <w:r>
              <w:rPr>
                <w:rFonts w:ascii="Arial Black" w:hAnsi="Arial Black"/>
              </w:rPr>
              <w:t>OBJETIVOS DE LA NORMA</w:t>
            </w:r>
          </w:p>
          <w:p>
            <w:pPr>
              <w:pStyle w:val="Normal"/>
              <w:ind w:left="0" w:hanging="0"/>
              <w:jc w:val="center"/>
              <w:rPr>
                <w:rFonts w:ascii="Arial Black" w:hAnsi="Arial Black"/>
              </w:rPr>
            </w:pPr>
            <w:r>
              <w:rPr>
                <w:rFonts w:ascii="Arial Black" w:hAnsi="Arial Black"/>
              </w:rPr>
            </w:r>
          </w:p>
        </w:tc>
      </w:tr>
      <w:tr>
        <w:trPr/>
        <w:tc>
          <w:tcPr>
            <w:tcW w:w="9923" w:type="dxa"/>
            <w:tcBorders/>
            <w:shd w:fill="auto" w:val="clear"/>
            <w:tcMar>
              <w:left w:w="108" w:type="dxa"/>
            </w:tcMar>
          </w:tcPr>
          <w:p>
            <w:pPr>
              <w:pStyle w:val="Normal"/>
              <w:rPr/>
            </w:pPr>
            <w:r>
              <w:rPr>
                <w:rFonts w:ascii="Century Gothic" w:hAnsi="Century Gothic"/>
              </w:rPr>
              <w:t>El Plan municipal de vivienda y suelo, como documento de análisis, diagnóstico y propuesta de actuaciones en materia de política de vivienda municipal, pretende alcanzar los siguientes objetivos</w:t>
            </w:r>
            <w:r>
              <w:rPr/>
              <w:t>:</w:t>
            </w:r>
          </w:p>
          <w:p>
            <w:pPr>
              <w:pStyle w:val="ListParagraph"/>
              <w:numPr>
                <w:ilvl w:val="0"/>
                <w:numId w:val="1"/>
              </w:numPr>
              <w:rPr>
                <w:sz w:val="22"/>
                <w:szCs w:val="22"/>
              </w:rPr>
            </w:pPr>
            <w:r>
              <w:rPr>
                <w:sz w:val="22"/>
                <w:szCs w:val="22"/>
              </w:rPr>
              <w:t>Obtener información objetiva sobre el mercado de vivienda en el municipio en relación con el parque existente, la oferta inmediata y la demanda, con el objetivo de caracterizar las necesidades de vivienda en el municipio.</w:t>
            </w:r>
          </w:p>
          <w:p>
            <w:pPr>
              <w:pStyle w:val="ListParagraph"/>
              <w:numPr>
                <w:ilvl w:val="0"/>
                <w:numId w:val="1"/>
              </w:numPr>
              <w:rPr>
                <w:sz w:val="22"/>
                <w:szCs w:val="22"/>
              </w:rPr>
            </w:pPr>
            <w:r>
              <w:rPr>
                <w:sz w:val="22"/>
                <w:szCs w:val="22"/>
              </w:rPr>
              <w:t>Analizar el estado del planeamiento actual y su nivel de desarrollo para ampliar y gestionar correctamente el Patrimonio Municipal de Suelo y Vivienda municipal a corto y medio plazo.</w:t>
            </w:r>
          </w:p>
          <w:p>
            <w:pPr>
              <w:pStyle w:val="ListParagraph"/>
              <w:numPr>
                <w:ilvl w:val="0"/>
                <w:numId w:val="1"/>
              </w:numPr>
              <w:rPr>
                <w:sz w:val="22"/>
                <w:szCs w:val="22"/>
              </w:rPr>
            </w:pPr>
            <w:r>
              <w:rPr>
                <w:sz w:val="22"/>
                <w:szCs w:val="22"/>
              </w:rPr>
              <w:t>Proponer iniciativas encaminadas a facilitar la creación de nuevas promociones de vivienda, tanto de alquiler como de venta, y tanto de promoción privada como pública.</w:t>
            </w:r>
          </w:p>
          <w:p>
            <w:pPr>
              <w:pStyle w:val="ListParagraph"/>
              <w:numPr>
                <w:ilvl w:val="0"/>
                <w:numId w:val="1"/>
              </w:numPr>
              <w:rPr>
                <w:sz w:val="22"/>
                <w:szCs w:val="22"/>
              </w:rPr>
            </w:pPr>
            <w:r>
              <w:rPr>
                <w:sz w:val="22"/>
                <w:szCs w:val="22"/>
              </w:rPr>
              <w:t xml:space="preserve">Determinar las condiciones idóneas con vistas a favorecer las promociones de vivienda sujeta a algún régimen de protección pública, y en especial de promoción pública. </w:t>
            </w:r>
          </w:p>
          <w:p>
            <w:pPr>
              <w:pStyle w:val="ListParagraph"/>
              <w:numPr>
                <w:ilvl w:val="0"/>
                <w:numId w:val="1"/>
              </w:numPr>
              <w:rPr>
                <w:sz w:val="22"/>
                <w:szCs w:val="22"/>
              </w:rPr>
            </w:pPr>
            <w:r>
              <w:rPr>
                <w:sz w:val="22"/>
                <w:szCs w:val="22"/>
              </w:rPr>
              <w:t>Definir ámbitos posibles de concertación entre las diferentes administraciones implicadas, operadores disponibles y otros agentes públicos y privados.</w:t>
            </w:r>
          </w:p>
          <w:p>
            <w:pPr>
              <w:pStyle w:val="ListParagraph"/>
              <w:numPr>
                <w:ilvl w:val="0"/>
                <w:numId w:val="1"/>
              </w:numPr>
              <w:rPr>
                <w:sz w:val="22"/>
                <w:szCs w:val="22"/>
              </w:rPr>
            </w:pPr>
            <w:r>
              <w:rPr>
                <w:sz w:val="22"/>
                <w:szCs w:val="22"/>
              </w:rPr>
              <w:t>Proponer las actuaciones necesarias a nivel del planeamiento municipal para hacer viables estas iniciativas en materia de vivienda.</w:t>
            </w:r>
          </w:p>
          <w:p>
            <w:pPr>
              <w:pStyle w:val="ListParagraph"/>
              <w:numPr>
                <w:ilvl w:val="0"/>
                <w:numId w:val="1"/>
              </w:numPr>
              <w:rPr>
                <w:sz w:val="22"/>
                <w:szCs w:val="22"/>
              </w:rPr>
            </w:pPr>
            <w:r>
              <w:rPr>
                <w:sz w:val="22"/>
                <w:szCs w:val="22"/>
              </w:rPr>
              <w:t>Proponer iniciativas para la dinamización e intermediación en el parque de viviendas de alquiler, la movilización del parque de viviendas vacantes y la rehabilitación de las viviendas construidas, determinando los instrumentos de gestión más oportunos.</w:t>
            </w:r>
          </w:p>
          <w:p>
            <w:pPr>
              <w:pStyle w:val="Normal"/>
              <w:rPr>
                <w:rFonts w:ascii="Century Gothic" w:hAnsi="Century Gothic"/>
              </w:rPr>
            </w:pPr>
            <w:r>
              <w:rPr>
                <w:rFonts w:ascii="Century Gothic" w:hAnsi="Century Gothic"/>
              </w:rPr>
              <w:t>El Plan municipal de vivienda y suelo se debe abordar desde una triple perspectiva, la cual dará lugar a la estructura del documento:</w:t>
            </w:r>
          </w:p>
          <w:p>
            <w:pPr>
              <w:pStyle w:val="ListParagraph"/>
              <w:numPr>
                <w:ilvl w:val="0"/>
                <w:numId w:val="1"/>
              </w:numPr>
              <w:rPr>
                <w:sz w:val="22"/>
                <w:szCs w:val="22"/>
              </w:rPr>
            </w:pPr>
            <w:r>
              <w:rPr>
                <w:b/>
                <w:sz w:val="22"/>
                <w:szCs w:val="22"/>
              </w:rPr>
              <w:t>Analítica:</w:t>
            </w:r>
            <w:r>
              <w:rPr>
                <w:sz w:val="22"/>
                <w:szCs w:val="22"/>
              </w:rPr>
              <w:t xml:space="preserve"> Información y diagnóstico de la problemática municipal en materia de vivienda y suelo.</w:t>
            </w:r>
          </w:p>
          <w:p>
            <w:pPr>
              <w:pStyle w:val="ListParagraph"/>
              <w:numPr>
                <w:ilvl w:val="0"/>
                <w:numId w:val="1"/>
              </w:numPr>
              <w:rPr>
                <w:sz w:val="22"/>
                <w:szCs w:val="22"/>
              </w:rPr>
            </w:pPr>
            <w:r>
              <w:rPr>
                <w:b/>
                <w:sz w:val="22"/>
                <w:szCs w:val="22"/>
              </w:rPr>
              <w:t>Estratégica:</w:t>
            </w:r>
            <w:r>
              <w:rPr>
                <w:sz w:val="22"/>
                <w:szCs w:val="22"/>
              </w:rPr>
              <w:t xml:space="preserve"> Establecimiento de los objetivos y estrategias en estas materias.</w:t>
            </w:r>
          </w:p>
          <w:p>
            <w:pPr>
              <w:pStyle w:val="ListParagraph"/>
              <w:numPr>
                <w:ilvl w:val="0"/>
                <w:numId w:val="1"/>
              </w:numPr>
              <w:rPr>
                <w:sz w:val="22"/>
                <w:szCs w:val="22"/>
              </w:rPr>
            </w:pPr>
            <w:r>
              <w:rPr>
                <w:b/>
                <w:sz w:val="22"/>
                <w:szCs w:val="22"/>
              </w:rPr>
              <w:t>Programática:</w:t>
            </w:r>
            <w:r>
              <w:rPr>
                <w:sz w:val="22"/>
                <w:szCs w:val="22"/>
              </w:rPr>
              <w:t xml:space="preserve"> Definición y programación de las actuaciones del Ayuntamiento a medio plazo (5 años) incluyendo: Financiación, seguimiento y evaluación del Plan.</w:t>
            </w:r>
          </w:p>
          <w:p>
            <w:pPr>
              <w:pStyle w:val="Normal"/>
              <w:rPr>
                <w:rFonts w:ascii="Century Gothic" w:hAnsi="Century Gothic"/>
              </w:rPr>
            </w:pPr>
            <w:r>
              <w:rPr>
                <w:rFonts w:ascii="Century Gothic" w:hAnsi="Century Gothic"/>
              </w:rPr>
              <w:t>El proceso de formulación y desarrollo del PMVS va acompañado de un Plan de Participación Ciudadana que posibilita la participación de la población y de otros actores implicados (técnicos, servicios sociales, representantes políticos, etc.).</w:t>
            </w:r>
          </w:p>
          <w:p>
            <w:pPr>
              <w:pStyle w:val="Normal"/>
              <w:rPr>
                <w:rFonts w:ascii="Century Gothic" w:hAnsi="Century Gothic"/>
              </w:rPr>
            </w:pPr>
            <w:r>
              <w:rPr>
                <w:rFonts w:ascii="Century Gothic" w:hAnsi="Century Gothic"/>
              </w:rPr>
            </w:r>
          </w:p>
          <w:p>
            <w:pPr>
              <w:pStyle w:val="Normal"/>
              <w:rPr>
                <w:rFonts w:ascii="Century Gothic" w:hAnsi="Century Gothic"/>
              </w:rPr>
            </w:pPr>
            <w:r>
              <w:rPr>
                <w:rFonts w:ascii="Century Gothic" w:hAnsi="Century Gothic"/>
              </w:rPr>
            </w:r>
          </w:p>
          <w:p>
            <w:pPr>
              <w:pStyle w:val="Normal"/>
              <w:ind w:left="0" w:hanging="0"/>
              <w:rPr>
                <w:rFonts w:ascii="Century Gothic" w:hAnsi="Century Gothic"/>
              </w:rPr>
            </w:pPr>
            <w:r>
              <w:rPr>
                <w:rFonts w:ascii="Century Gothic" w:hAnsi="Century Gothic"/>
              </w:rPr>
            </w:r>
          </w:p>
          <w:p>
            <w:pPr>
              <w:pStyle w:val="Normal"/>
              <w:ind w:left="0" w:hanging="0"/>
              <w:rPr/>
            </w:pPr>
            <w:r>
              <w:rPr/>
            </w:r>
          </w:p>
        </w:tc>
      </w:tr>
    </w:tbl>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p>
      <w:pPr>
        <w:pStyle w:val="Normal"/>
        <w:ind w:left="0" w:hanging="0"/>
        <w:rPr/>
      </w:pPr>
      <w:r>
        <w:rPr/>
      </w:r>
    </w:p>
    <w:tbl>
      <w:tblPr>
        <w:tblStyle w:val="Tablaconcuadrcula"/>
        <w:tblW w:w="9923" w:type="dxa"/>
        <w:jc w:val="left"/>
        <w:tblInd w:w="-459" w:type="dxa"/>
        <w:tblCellMar>
          <w:top w:w="0" w:type="dxa"/>
          <w:left w:w="108" w:type="dxa"/>
          <w:bottom w:w="0" w:type="dxa"/>
          <w:right w:w="108" w:type="dxa"/>
        </w:tblCellMar>
        <w:tblLook w:val="04a0"/>
      </w:tblPr>
      <w:tblGrid>
        <w:gridCol w:w="9923"/>
      </w:tblGrid>
      <w:tr>
        <w:trPr/>
        <w:tc>
          <w:tcPr>
            <w:tcW w:w="9923" w:type="dxa"/>
            <w:tcBorders/>
            <w:shd w:fill="auto" w:val="clear"/>
            <w:tcMar>
              <w:left w:w="108" w:type="dxa"/>
            </w:tcMar>
          </w:tcPr>
          <w:p>
            <w:pPr>
              <w:pStyle w:val="Default"/>
              <w:rPr>
                <w:rFonts w:ascii="Arial Black" w:hAnsi="Arial Black"/>
                <w:sz w:val="22"/>
                <w:szCs w:val="22"/>
              </w:rPr>
            </w:pPr>
            <w:r>
              <w:rPr>
                <w:rFonts w:ascii="Arial Black" w:hAnsi="Arial Black"/>
                <w:sz w:val="22"/>
                <w:szCs w:val="22"/>
              </w:rPr>
              <w:t>POSIBLES SOLUCIONES ALTERNATIVAS REGULATORIAS Y NO REGULATORIAS</w:t>
            </w:r>
          </w:p>
          <w:p>
            <w:pPr>
              <w:pStyle w:val="Normal"/>
              <w:ind w:left="0" w:hanging="0"/>
              <w:rPr/>
            </w:pPr>
            <w:r>
              <w:rPr/>
            </w:r>
          </w:p>
        </w:tc>
      </w:tr>
      <w:tr>
        <w:trPr/>
        <w:tc>
          <w:tcPr>
            <w:tcW w:w="9923" w:type="dxa"/>
            <w:tcBorders/>
            <w:shd w:fill="auto" w:val="clear"/>
            <w:tcMar>
              <w:left w:w="108" w:type="dxa"/>
            </w:tcMar>
          </w:tcPr>
          <w:p>
            <w:pPr>
              <w:pStyle w:val="Normal"/>
              <w:ind w:left="0" w:hanging="0"/>
              <w:rPr>
                <w:rFonts w:ascii="Century Gothic" w:hAnsi="Century Gothic"/>
              </w:rPr>
            </w:pPr>
            <w:r>
              <w:rPr>
                <w:rFonts w:ascii="Century Gothic" w:hAnsi="Century Gothic"/>
              </w:rPr>
            </w:r>
          </w:p>
          <w:p>
            <w:pPr>
              <w:pStyle w:val="Normal"/>
              <w:ind w:left="0" w:hanging="0"/>
              <w:rPr>
                <w:rFonts w:ascii="Century Gothic" w:hAnsi="Century Gothic"/>
              </w:rPr>
            </w:pPr>
            <w:r>
              <w:rPr>
                <w:rFonts w:ascii="Century Gothic" w:hAnsi="Century Gothic"/>
              </w:rPr>
              <w:t>No existe una solución alternativa que no sea la de regular normativamente las condiciones de acceso a una vivienda digna, puesto que es obligación por ley de  los Ayuntamientos elaborar y aprobar un Plan Municipal de Vivienda y Suelo.</w:t>
            </w:r>
          </w:p>
          <w:p>
            <w:pPr>
              <w:pStyle w:val="Normal"/>
              <w:ind w:left="0" w:hanging="0"/>
              <w:rPr>
                <w:rFonts w:ascii="Century Gothic" w:hAnsi="Century Gothic"/>
              </w:rPr>
            </w:pPr>
            <w:r>
              <w:rPr>
                <w:rFonts w:ascii="Century Gothic" w:hAnsi="Century Gothic"/>
              </w:rPr>
            </w:r>
          </w:p>
        </w:tc>
      </w:tr>
    </w:tbl>
    <w:p>
      <w:pPr>
        <w:pStyle w:val="Normal"/>
        <w:ind w:left="0" w:hanging="0"/>
        <w:rPr/>
      </w:pPr>
      <w:r>
        <w:rPr/>
      </w:r>
    </w:p>
    <w:tbl>
      <w:tblPr>
        <w:tblStyle w:val="Tablaconcuadrcula"/>
        <w:tblW w:w="9923" w:type="dxa"/>
        <w:jc w:val="left"/>
        <w:tblInd w:w="-459" w:type="dxa"/>
        <w:tblCellMar>
          <w:top w:w="0" w:type="dxa"/>
          <w:left w:w="108" w:type="dxa"/>
          <w:bottom w:w="0" w:type="dxa"/>
          <w:right w:w="108" w:type="dxa"/>
        </w:tblCellMar>
        <w:tblLook w:val="04a0"/>
      </w:tblPr>
      <w:tblGrid>
        <w:gridCol w:w="9923"/>
      </w:tblGrid>
      <w:tr>
        <w:trPr/>
        <w:tc>
          <w:tcPr>
            <w:tcW w:w="9923" w:type="dxa"/>
            <w:tcBorders/>
            <w:shd w:fill="auto" w:val="clear"/>
            <w:tcMar>
              <w:left w:w="108" w:type="dxa"/>
            </w:tcMar>
          </w:tcPr>
          <w:p>
            <w:pPr>
              <w:pStyle w:val="Normal"/>
              <w:ind w:left="0" w:hanging="0"/>
              <w:jc w:val="center"/>
              <w:rPr>
                <w:rFonts w:ascii="Arial Black" w:hAnsi="Arial Black"/>
              </w:rPr>
            </w:pPr>
            <w:r>
              <w:rPr>
                <w:rFonts w:ascii="Arial Black" w:hAnsi="Arial Black"/>
              </w:rPr>
              <w:t>TRAMITACIÓN DEL PLAN MUNICIPAL DE VIVIENDA Y SUELO</w:t>
            </w:r>
          </w:p>
          <w:p>
            <w:pPr>
              <w:pStyle w:val="Normal"/>
              <w:ind w:left="0" w:hanging="0"/>
              <w:jc w:val="center"/>
              <w:rPr>
                <w:rFonts w:ascii="Arial Black" w:hAnsi="Arial Black"/>
              </w:rPr>
            </w:pPr>
            <w:r>
              <w:rPr>
                <w:rFonts w:ascii="Arial Black" w:hAnsi="Arial Black"/>
              </w:rPr>
            </w:r>
          </w:p>
        </w:tc>
      </w:tr>
      <w:tr>
        <w:trPr/>
        <w:tc>
          <w:tcPr>
            <w:tcW w:w="9923" w:type="dxa"/>
            <w:tcBorders/>
            <w:shd w:fill="auto" w:val="clear"/>
            <w:tcMar>
              <w:left w:w="108" w:type="dxa"/>
            </w:tcMar>
          </w:tcPr>
          <w:p>
            <w:pPr>
              <w:pStyle w:val="Normal"/>
              <w:ind w:left="0" w:hanging="0"/>
              <w:rPr>
                <w:rFonts w:ascii="Century Gothic" w:hAnsi="Century Gothic"/>
              </w:rPr>
            </w:pPr>
            <w:r>
              <w:rPr>
                <w:rFonts w:ascii="Century Gothic" w:hAnsi="Century Gothic"/>
              </w:rPr>
            </w:r>
          </w:p>
          <w:p>
            <w:pPr>
              <w:pStyle w:val="Normal"/>
              <w:ind w:left="0" w:hanging="0"/>
              <w:rPr>
                <w:rFonts w:ascii="Century Gothic" w:hAnsi="Century Gothic"/>
              </w:rPr>
            </w:pPr>
            <w:r>
              <w:rPr>
                <w:rFonts w:ascii="Century Gothic" w:hAnsi="Century Gothic"/>
              </w:rPr>
              <w:t>El procedimiento para su aprobación seguirá, por tanto, los trámites del art. 49 de la Ley 7/1985 de 2 de abril Reguladora de las Bases de Régimen Local y lo dispuesto en materia de publicidad de los reglamentos en el artículo 131 de la LRJPAC y 133 LRJPAC:</w:t>
            </w:r>
          </w:p>
          <w:p>
            <w:pPr>
              <w:pStyle w:val="Normal"/>
              <w:ind w:left="0" w:hanging="0"/>
              <w:rPr>
                <w:rFonts w:ascii="Century Gothic" w:hAnsi="Century Gothic"/>
              </w:rPr>
            </w:pPr>
            <w:r>
              <w:rPr>
                <w:rFonts w:ascii="Century Gothic" w:hAnsi="Century Gothic"/>
              </w:rPr>
              <w:t xml:space="preserve">1. </w:t>
            </w:r>
            <w:r>
              <w:rPr>
                <w:rFonts w:ascii="Century Gothic" w:hAnsi="Century Gothic"/>
                <w:b/>
              </w:rPr>
              <w:t>Fase de consulta  pública previa</w:t>
            </w:r>
            <w:r>
              <w:rPr>
                <w:rFonts w:ascii="Century Gothic" w:hAnsi="Century Gothic"/>
              </w:rPr>
              <w:t xml:space="preserve"> a la elaboración del plan, a través del portal web del Ayuntamiento en la que se recabará la opinión de los sujetos y de las organizaciones más representativas potencialmente afectados por el futuro plan de acuerdo con lo previsto en el artículo 133 de la LRJPAC.</w:t>
            </w:r>
          </w:p>
          <w:p>
            <w:pPr>
              <w:pStyle w:val="Normal"/>
              <w:ind w:left="0" w:hanging="0"/>
              <w:rPr>
                <w:rFonts w:ascii="Century Gothic" w:hAnsi="Century Gothic"/>
              </w:rPr>
            </w:pPr>
            <w:r>
              <w:rPr>
                <w:rFonts w:ascii="Century Gothic" w:hAnsi="Century Gothic"/>
              </w:rPr>
              <w:t xml:space="preserve">2. </w:t>
            </w:r>
            <w:r>
              <w:rPr>
                <w:rFonts w:ascii="Century Gothic" w:hAnsi="Century Gothic"/>
                <w:b/>
              </w:rPr>
              <w:t>Aprobación inicial por el Pleno</w:t>
            </w:r>
            <w:r>
              <w:rPr>
                <w:rFonts w:ascii="Century Gothic" w:hAnsi="Century Gothic"/>
              </w:rPr>
              <w:t>. Articulo 22.2d) Ley 7 /1985 de 2 de abril, con el quórum de mayoría simple de acuerdo con el art. 47 .1 LBRL</w:t>
            </w:r>
          </w:p>
          <w:p>
            <w:pPr>
              <w:pStyle w:val="Normal"/>
              <w:ind w:left="0" w:hanging="0"/>
              <w:rPr>
                <w:rFonts w:ascii="Century Gothic" w:hAnsi="Century Gothic"/>
              </w:rPr>
            </w:pPr>
            <w:r>
              <w:rPr>
                <w:rFonts w:ascii="Century Gothic" w:hAnsi="Century Gothic"/>
              </w:rPr>
              <w:t xml:space="preserve">3. Sometimiento del expediente a un </w:t>
            </w:r>
            <w:r>
              <w:rPr>
                <w:rFonts w:ascii="Century Gothic" w:hAnsi="Century Gothic"/>
                <w:b/>
              </w:rPr>
              <w:t>periodo de información pública y audiencia a los interesados</w:t>
            </w:r>
            <w:r>
              <w:rPr>
                <w:rFonts w:ascii="Century Gothic" w:hAnsi="Century Gothic"/>
              </w:rPr>
              <w:t xml:space="preserve"> por el plazo mínimo de treinta días para la presentación de reclamaciones y sugerencias,</w:t>
            </w:r>
          </w:p>
          <w:p>
            <w:pPr>
              <w:pStyle w:val="Normal"/>
              <w:ind w:left="0" w:hanging="0"/>
              <w:rPr>
                <w:rFonts w:ascii="Century Gothic" w:hAnsi="Century Gothic"/>
              </w:rPr>
            </w:pPr>
            <w:r>
              <w:rPr>
                <w:rFonts w:ascii="Century Gothic" w:hAnsi="Century Gothic"/>
              </w:rPr>
              <w:t xml:space="preserve">4. </w:t>
            </w:r>
            <w:r>
              <w:rPr>
                <w:rFonts w:ascii="Century Gothic" w:hAnsi="Century Gothic"/>
                <w:b/>
              </w:rPr>
              <w:t>Remisión del expediente a la Consejería competente en materia de vivienda para que emitan informe preceptivo</w:t>
            </w:r>
            <w:r>
              <w:rPr>
                <w:rFonts w:ascii="Century Gothic" w:hAnsi="Century Gothic"/>
              </w:rPr>
              <w:t xml:space="preserve"> si se da el supuesto previsto en la Disposición adicional tercera de la Ley 2/2012.</w:t>
            </w:r>
          </w:p>
          <w:p>
            <w:pPr>
              <w:pStyle w:val="Normal"/>
              <w:ind w:left="0" w:hanging="0"/>
              <w:rPr>
                <w:rFonts w:ascii="Century Gothic" w:hAnsi="Century Gothic"/>
              </w:rPr>
            </w:pPr>
            <w:r>
              <w:rPr>
                <w:rFonts w:ascii="Century Gothic" w:hAnsi="Century Gothic"/>
              </w:rPr>
              <w:t xml:space="preserve">5. </w:t>
            </w:r>
            <w:r>
              <w:rPr>
                <w:rFonts w:ascii="Century Gothic" w:hAnsi="Century Gothic"/>
                <w:b/>
              </w:rPr>
              <w:t>Resolución de todas las reclamaciones y sugerencias</w:t>
            </w:r>
            <w:r>
              <w:rPr>
                <w:rFonts w:ascii="Century Gothic" w:hAnsi="Century Gothic"/>
              </w:rPr>
              <w:t xml:space="preserve"> presentadas dentro de plazo </w:t>
            </w:r>
          </w:p>
          <w:p>
            <w:pPr>
              <w:pStyle w:val="Normal"/>
              <w:ind w:left="0" w:hanging="0"/>
              <w:rPr>
                <w:rFonts w:ascii="Century Gothic" w:hAnsi="Century Gothic"/>
              </w:rPr>
            </w:pPr>
            <w:r>
              <w:rPr>
                <w:rFonts w:ascii="Century Gothic" w:hAnsi="Century Gothic"/>
              </w:rPr>
              <w:t xml:space="preserve">6. </w:t>
            </w:r>
            <w:r>
              <w:rPr>
                <w:rFonts w:ascii="Century Gothic" w:hAnsi="Century Gothic"/>
                <w:b/>
              </w:rPr>
              <w:t>Aprobación definitiva por el Pleno</w:t>
            </w:r>
            <w:r>
              <w:rPr>
                <w:rFonts w:ascii="Century Gothic" w:hAnsi="Century Gothic"/>
              </w:rPr>
              <w:t xml:space="preserve">. En caso de que no se presente ninguna reclamación o sugerencia se entenderá definitivamente adoptado el acuerdo  hasta entonces provisional. </w:t>
            </w:r>
          </w:p>
          <w:p>
            <w:pPr>
              <w:pStyle w:val="Normal"/>
              <w:ind w:left="0" w:hanging="0"/>
              <w:rPr>
                <w:rFonts w:ascii="Century Gothic" w:hAnsi="Century Gothic"/>
              </w:rPr>
            </w:pPr>
            <w:r>
              <w:rPr>
                <w:rFonts w:ascii="Century Gothic" w:hAnsi="Century Gothic"/>
              </w:rPr>
              <w:t xml:space="preserve">7. </w:t>
            </w:r>
            <w:r>
              <w:rPr>
                <w:rFonts w:ascii="Century Gothic" w:hAnsi="Century Gothic"/>
                <w:b/>
              </w:rPr>
              <w:t xml:space="preserve">Publicación en el BOP </w:t>
            </w:r>
            <w:r>
              <w:rPr>
                <w:rFonts w:ascii="Century Gothic" w:hAnsi="Century Gothic"/>
              </w:rPr>
              <w:t xml:space="preserve"> del acuerdo y el texto completo del plan municipal de vivienda. </w:t>
            </w:r>
          </w:p>
          <w:p>
            <w:pPr>
              <w:pStyle w:val="Normal"/>
              <w:ind w:left="0" w:hanging="0"/>
              <w:rPr>
                <w:rFonts w:ascii="Century Gothic" w:hAnsi="Century Gothic"/>
              </w:rPr>
            </w:pPr>
            <w:r>
              <w:rPr>
                <w:rFonts w:ascii="Century Gothic" w:hAnsi="Century Gothic"/>
              </w:rPr>
              <w:t xml:space="preserve">8. </w:t>
            </w:r>
            <w:r>
              <w:rPr>
                <w:rFonts w:ascii="Century Gothic" w:hAnsi="Century Gothic"/>
                <w:b/>
              </w:rPr>
              <w:t>Remisión del PMVS</w:t>
            </w:r>
            <w:r>
              <w:rPr>
                <w:rFonts w:ascii="Century Gothic" w:hAnsi="Century Gothic"/>
              </w:rPr>
              <w:t>,  una vez aprobado definitivamente a la  Consejería competente en materia de vivienda</w:t>
            </w:r>
          </w:p>
          <w:p>
            <w:pPr>
              <w:pStyle w:val="Normal"/>
              <w:ind w:left="0" w:hanging="0"/>
              <w:rPr>
                <w:rFonts w:ascii="Century Gothic" w:hAnsi="Century Gothic"/>
              </w:rPr>
            </w:pPr>
            <w:r>
              <w:rPr>
                <w:rFonts w:ascii="Century Gothic" w:hAnsi="Century Gothic"/>
              </w:rPr>
              <w:t>En dicho procedimiento se deberá tener en cuenta, además las siguientes particularidades: -</w:t>
            </w:r>
          </w:p>
          <w:p>
            <w:pPr>
              <w:pStyle w:val="Normal"/>
              <w:ind w:left="113" w:hanging="0"/>
              <w:rPr>
                <w:rFonts w:ascii="Century Gothic" w:hAnsi="Century Gothic"/>
              </w:rPr>
            </w:pPr>
            <w:r>
              <w:rPr>
                <w:rFonts w:ascii="Century Gothic" w:hAnsi="Century Gothic"/>
              </w:rPr>
              <w:t xml:space="preserve">-las que vienen establecidas por la materia específica de vivienda </w:t>
            </w:r>
          </w:p>
          <w:p>
            <w:pPr>
              <w:pStyle w:val="Normal"/>
              <w:ind w:left="113" w:hanging="0"/>
              <w:rPr>
                <w:rFonts w:ascii="Century Gothic" w:hAnsi="Century Gothic"/>
              </w:rPr>
            </w:pPr>
            <w:r>
              <w:rPr>
                <w:rFonts w:ascii="Century Gothic" w:hAnsi="Century Gothic"/>
              </w:rPr>
              <w:t xml:space="preserve">-las derivadas de la propia organización municipal. </w:t>
            </w:r>
          </w:p>
          <w:p>
            <w:pPr>
              <w:pStyle w:val="Normal"/>
              <w:ind w:left="0" w:hanging="0"/>
              <w:rPr>
                <w:rFonts w:ascii="Century Gothic" w:hAnsi="Century Gothic"/>
                <w:sz w:val="6"/>
                <w:szCs w:val="6"/>
              </w:rPr>
            </w:pPr>
            <w:r>
              <w:rPr>
                <w:rFonts w:ascii="Century Gothic" w:hAnsi="Century Gothic"/>
                <w:sz w:val="6"/>
                <w:szCs w:val="6"/>
              </w:rPr>
            </w:r>
          </w:p>
          <w:p>
            <w:pPr>
              <w:pStyle w:val="Normal"/>
              <w:ind w:left="0" w:hanging="0"/>
              <w:rPr>
                <w:rFonts w:ascii="Century Gothic" w:hAnsi="Century Gothic"/>
              </w:rPr>
            </w:pPr>
            <w:r>
              <w:rPr>
                <w:rFonts w:ascii="Century Gothic" w:hAnsi="Century Gothic"/>
              </w:rPr>
              <w:t xml:space="preserve">En cuanto a las primeras, la Ley 1/2010 de 8 de marzo del Derecho a la Vivienda en Andalucía en su art. 13.6 determina que, una vez aprobado el PMVS el Ayuntamiento debe remitirlo a la Consejería competente en materia de vivienda. </w:t>
            </w:r>
          </w:p>
          <w:p>
            <w:pPr>
              <w:pStyle w:val="Normal"/>
              <w:ind w:left="0" w:hanging="0"/>
              <w:rPr>
                <w:rFonts w:ascii="Century Gothic" w:hAnsi="Century Gothic"/>
              </w:rPr>
            </w:pPr>
            <w:r>
              <w:rPr>
                <w:rFonts w:ascii="Century Gothic" w:hAnsi="Century Gothic"/>
              </w:rPr>
              <w:t>Por otro lado, la modificación de la Ley 7 /2002 de 17 de diciembre de Ordenación urbanística de Andalucía, por la Ley 2/2012 de 30 de enero contiene en su disposición adicional tercera, el carácter preceptivo del informe de la Consejería competente en materia de vivienda con carácter, que debe emitir  , con carácter previo a la aprobación del PMVS,  si el mismo arroja una demanda de vivienda protegida acogida al Plan Andaluz de Vivienda y Suelo inferior al treinta por ciento de la edificabilidad residencial, porcentaje mínimo de reserva de acuerdo con el artículo 10.1.A).b) de la Ley 7/2002, de 17 de diciembre .</w:t>
            </w:r>
          </w:p>
        </w:tc>
      </w:tr>
    </w:tbl>
    <w:p>
      <w:pPr>
        <w:pStyle w:val="Normal"/>
        <w:ind w:left="0" w:hanging="0"/>
        <w:rPr/>
      </w:pPr>
      <w:r>
        <w:rPr/>
      </w:r>
    </w:p>
    <w:sectPr>
      <w:footerReference w:type="default" r:id="rId2"/>
      <w:type w:val="nextPage"/>
      <w:pgSz w:w="11906" w:h="16838"/>
      <w:pgMar w:left="1701" w:right="1701" w:header="0"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Futura Lt BT">
    <w:charset w:val="00"/>
    <w:family w:val="roman"/>
    <w:pitch w:val="variable"/>
  </w:font>
  <w:font w:name="Century Gothic">
    <w:charset w:val="00"/>
    <w:family w:val="roman"/>
    <w:pitch w:val="variable"/>
  </w:font>
  <w:font w:name="Arial Black">
    <w:charset w:val="00"/>
    <w:family w:val="roman"/>
    <w:pitch w:val="variable"/>
  </w:font>
  <w:font w:name="FuturaBT-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Default"/>
      <w:rPr>
        <w:rFonts w:ascii="Calibri" w:hAnsi="Calibri" w:cs="Calibri"/>
      </w:rPr>
    </w:pPr>
    <w:r>
      <w:rPr>
        <w:rFonts w:cs="Calibri" w:ascii="Calibri" w:hAnsi="Calibri"/>
      </w:rPr>
    </w:r>
  </w:p>
  <w:p>
    <w:pPr>
      <w:pStyle w:val="Piedepgina"/>
      <w:rPr>
        <w:rFonts w:ascii="Century Gothic" w:hAnsi="Century Gothic" w:cs="Calibri"/>
        <w:color w:val="000000"/>
        <w:sz w:val="20"/>
        <w:szCs w:val="20"/>
      </w:rPr>
    </w:pPr>
    <w:r>
      <w:rPr>
        <w:rFonts w:cs="Calibri" w:ascii="Century Gothic" w:hAnsi="Century Gothic"/>
        <w:color w:val="000000"/>
        <w:sz w:val="20"/>
        <w:szCs w:val="20"/>
      </w:rPr>
      <w:t>Consulta pública previa del  Proyecto de Plan Municipal de Vivienda y Suelo</w:t>
    </w:r>
  </w:p>
  <w:p>
    <w:pPr>
      <w:pStyle w:val="Piedepgina"/>
      <w:rPr>
        <w:rFonts w:ascii="Century Gothic" w:hAnsi="Century Gothic"/>
        <w:sz w:val="20"/>
        <w:szCs w:val="20"/>
      </w:rPr>
    </w:pPr>
    <w:r>
      <w:rPr>
        <w:rFonts w:cs="Calibri" w:ascii="Century Gothic" w:hAnsi="Century Gothic"/>
        <w:color w:val="000000"/>
        <w:sz w:val="20"/>
        <w:szCs w:val="20"/>
      </w:rPr>
      <w:t>Abierta del               2017 al          2017</w:t>
    </w:r>
  </w:p>
  <w:p>
    <w:pPr>
      <w:pStyle w:val="Piedepgina"/>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812" w:hanging="360"/>
      </w:pPr>
      <w:rPr>
        <w:rFonts w:ascii="Symbol" w:hAnsi="Symbol" w:cs="Symbol" w:hint="default"/>
      </w:rPr>
    </w:lvl>
    <w:lvl w:ilvl="1">
      <w:start w:val="1"/>
      <w:numFmt w:val="bullet"/>
      <w:lvlText w:val="o"/>
      <w:lvlJc w:val="left"/>
      <w:pPr>
        <w:ind w:left="1532" w:hanging="360"/>
      </w:pPr>
      <w:rPr>
        <w:rFonts w:ascii="Courier New" w:hAnsi="Courier New" w:cs="Courier New" w:hint="default"/>
        <w:rFonts w:cs="Courier New"/>
      </w:rPr>
    </w:lvl>
    <w:lvl w:ilvl="2">
      <w:start w:val="1"/>
      <w:numFmt w:val="bullet"/>
      <w:lvlText w:val=""/>
      <w:lvlJc w:val="left"/>
      <w:pPr>
        <w:ind w:left="2252" w:hanging="360"/>
      </w:pPr>
      <w:rPr>
        <w:rFonts w:ascii="Wingdings" w:hAnsi="Wingdings" w:cs="Wingdings" w:hint="default"/>
      </w:rPr>
    </w:lvl>
    <w:lvl w:ilvl="3">
      <w:start w:val="1"/>
      <w:numFmt w:val="bullet"/>
      <w:lvlText w:val=""/>
      <w:lvlJc w:val="left"/>
      <w:pPr>
        <w:ind w:left="2972" w:hanging="360"/>
      </w:pPr>
      <w:rPr>
        <w:rFonts w:ascii="Symbol" w:hAnsi="Symbol" w:cs="Symbol" w:hint="default"/>
      </w:rPr>
    </w:lvl>
    <w:lvl w:ilvl="4">
      <w:start w:val="1"/>
      <w:numFmt w:val="bullet"/>
      <w:lvlText w:val="o"/>
      <w:lvlJc w:val="left"/>
      <w:pPr>
        <w:ind w:left="3692" w:hanging="360"/>
      </w:pPr>
      <w:rPr>
        <w:rFonts w:ascii="Courier New" w:hAnsi="Courier New" w:cs="Courier New" w:hint="default"/>
        <w:rFonts w:cs="Courier New"/>
      </w:rPr>
    </w:lvl>
    <w:lvl w:ilvl="5">
      <w:start w:val="1"/>
      <w:numFmt w:val="bullet"/>
      <w:lvlText w:val=""/>
      <w:lvlJc w:val="left"/>
      <w:pPr>
        <w:ind w:left="4412" w:hanging="360"/>
      </w:pPr>
      <w:rPr>
        <w:rFonts w:ascii="Wingdings" w:hAnsi="Wingdings" w:cs="Wingdings" w:hint="default"/>
      </w:rPr>
    </w:lvl>
    <w:lvl w:ilvl="6">
      <w:start w:val="1"/>
      <w:numFmt w:val="bullet"/>
      <w:lvlText w:val=""/>
      <w:lvlJc w:val="left"/>
      <w:pPr>
        <w:ind w:left="5132" w:hanging="360"/>
      </w:pPr>
      <w:rPr>
        <w:rFonts w:ascii="Symbol" w:hAnsi="Symbol" w:cs="Symbol" w:hint="default"/>
      </w:rPr>
    </w:lvl>
    <w:lvl w:ilvl="7">
      <w:start w:val="1"/>
      <w:numFmt w:val="bullet"/>
      <w:lvlText w:val="o"/>
      <w:lvlJc w:val="left"/>
      <w:pPr>
        <w:ind w:left="5852" w:hanging="360"/>
      </w:pPr>
      <w:rPr>
        <w:rFonts w:ascii="Courier New" w:hAnsi="Courier New" w:cs="Courier New" w:hint="default"/>
        <w:rFonts w:cs="Courier New"/>
      </w:rPr>
    </w:lvl>
    <w:lvl w:ilvl="8">
      <w:start w:val="1"/>
      <w:numFmt w:val="bullet"/>
      <w:lvlText w:val=""/>
      <w:lvlJc w:val="left"/>
      <w:pPr>
        <w:ind w:left="6572"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3"/>
  <w:defaultTabStop w:val="708"/>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77917"/>
    <w:pPr>
      <w:widowControl/>
      <w:bidi w:val="0"/>
      <w:ind w:left="567" w:hanging="0"/>
      <w:jc w:val="left"/>
    </w:pPr>
    <w:rPr>
      <w:rFonts w:ascii="Calibri" w:hAnsi="Calibri" w:eastAsia="Calibri" w:cs="" w:asciiTheme="minorHAnsi" w:cstheme="minorBidi" w:eastAsiaTheme="minorHAnsi" w:hAnsiTheme="minorHAnsi"/>
      <w:color w:val="auto"/>
      <w:sz w:val="22"/>
      <w:szCs w:val="22"/>
      <w:lang w:val="es-ES"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semiHidden/>
    <w:qFormat/>
    <w:rsid w:val="00ab4242"/>
    <w:rPr/>
  </w:style>
  <w:style w:type="character" w:styleId="PiedepginaCar" w:customStyle="1">
    <w:name w:val="Pie de página Car"/>
    <w:basedOn w:val="DefaultParagraphFont"/>
    <w:link w:val="Piedepgina"/>
    <w:uiPriority w:val="99"/>
    <w:qFormat/>
    <w:rsid w:val="00ab4242"/>
    <w:rPr/>
  </w:style>
  <w:style w:type="character" w:styleId="TextodegloboCar" w:customStyle="1">
    <w:name w:val="Texto de globo Car"/>
    <w:basedOn w:val="DefaultParagraphFont"/>
    <w:link w:val="Textodeglobo"/>
    <w:uiPriority w:val="99"/>
    <w:semiHidden/>
    <w:qFormat/>
    <w:rsid w:val="00ab4242"/>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Ttulo">
    <w:name w:val="Títul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Default" w:customStyle="1">
    <w:name w:val="Default"/>
    <w:qFormat/>
    <w:rsid w:val="00963f70"/>
    <w:pPr>
      <w:widowControl/>
      <w:bidi w:val="0"/>
      <w:ind w:left="0" w:hanging="0"/>
      <w:jc w:val="left"/>
    </w:pPr>
    <w:rPr>
      <w:rFonts w:ascii="Futura Lt BT" w:hAnsi="Futura Lt BT" w:cs="Futura Lt BT" w:eastAsia="Calibri"/>
      <w:color w:val="000000"/>
      <w:sz w:val="24"/>
      <w:szCs w:val="24"/>
      <w:lang w:val="es-ES" w:eastAsia="en-US" w:bidi="ar-SA"/>
    </w:rPr>
  </w:style>
  <w:style w:type="paragraph" w:styleId="Cabecera">
    <w:name w:val="Header"/>
    <w:basedOn w:val="Normal"/>
    <w:link w:val="EncabezadoCar"/>
    <w:uiPriority w:val="99"/>
    <w:semiHidden/>
    <w:unhideWhenUsed/>
    <w:rsid w:val="00ab4242"/>
    <w:pPr>
      <w:tabs>
        <w:tab w:val="center" w:pos="4252" w:leader="none"/>
        <w:tab w:val="right" w:pos="8504" w:leader="none"/>
      </w:tabs>
    </w:pPr>
    <w:rPr/>
  </w:style>
  <w:style w:type="paragraph" w:styleId="Piedepgina">
    <w:name w:val="Footer"/>
    <w:basedOn w:val="Normal"/>
    <w:link w:val="PiedepginaCar"/>
    <w:uiPriority w:val="99"/>
    <w:unhideWhenUsed/>
    <w:rsid w:val="00ab4242"/>
    <w:pPr>
      <w:tabs>
        <w:tab w:val="center" w:pos="4252" w:leader="none"/>
        <w:tab w:val="right" w:pos="8504" w:leader="none"/>
      </w:tabs>
    </w:pPr>
    <w:rPr/>
  </w:style>
  <w:style w:type="paragraph" w:styleId="BalloonText">
    <w:name w:val="Balloon Text"/>
    <w:basedOn w:val="Normal"/>
    <w:link w:val="TextodegloboCar"/>
    <w:uiPriority w:val="99"/>
    <w:semiHidden/>
    <w:unhideWhenUsed/>
    <w:qFormat/>
    <w:rsid w:val="00ab4242"/>
    <w:pPr/>
    <w:rPr>
      <w:rFonts w:ascii="Tahoma" w:hAnsi="Tahoma" w:cs="Tahoma"/>
      <w:sz w:val="16"/>
      <w:szCs w:val="16"/>
    </w:rPr>
  </w:style>
  <w:style w:type="paragraph" w:styleId="ListParagraph">
    <w:name w:val="List Paragraph"/>
    <w:basedOn w:val="Normal"/>
    <w:autoRedefine/>
    <w:uiPriority w:val="34"/>
    <w:qFormat/>
    <w:rsid w:val="0003727e"/>
    <w:pPr>
      <w:spacing w:before="120" w:after="120"/>
    </w:pPr>
    <w:rPr>
      <w:rFonts w:ascii="Century Gothic" w:hAnsi="Century Gothic"/>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table" w:styleId="Tablaconcuadrcula">
    <w:name w:val="Table Grid"/>
    <w:basedOn w:val="Tablanormal"/>
    <w:uiPriority w:val="59"/>
    <w:rsid w:val="0003727e"/>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Application>LibreOffice/5.3.3.2$Windows_X86_64 LibreOffice_project/3d9a8b4b4e538a85e0782bd6c2d430bafe583448</Application>
  <Pages>6</Pages>
  <Words>2507</Words>
  <Characters>13378</Characters>
  <CharactersWithSpaces>15896</CharactersWithSpaces>
  <Paragraphs>76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2017-05-23T08:57:00Z</dcterms:created>
  <dc:creator>elopez</dc:creator>
  <dc:description/>
  <dc:language>es-ES</dc:language>
  <cp:lastModifiedBy/>
  <cp:lastPrinted>2017-05-26T07:22:00Z</cp:lastPrinted>
  <dcterms:modified xsi:type="dcterms:W3CDTF">2018-02-07T13:16:32Z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